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5F7" w:rsidRPr="00686955" w:rsidRDefault="009A75F7" w:rsidP="009A75F7">
      <w:pPr>
        <w:spacing w:line="360" w:lineRule="auto"/>
        <w:rPr>
          <w:b/>
        </w:rPr>
      </w:pPr>
      <w:r w:rsidRPr="00686955">
        <w:rPr>
          <w:b/>
        </w:rPr>
        <w:t>Supplementary information I</w:t>
      </w:r>
      <w:r>
        <w:rPr>
          <w:b/>
        </w:rPr>
        <w:t xml:space="preserve"> (FOR ONLINE PUBLICATION ONLY)</w:t>
      </w:r>
    </w:p>
    <w:p w:rsidR="009A75F7" w:rsidRPr="00686955" w:rsidRDefault="009A75F7" w:rsidP="009A75F7">
      <w:pPr>
        <w:spacing w:line="360" w:lineRule="auto"/>
      </w:pPr>
    </w:p>
    <w:p w:rsidR="009A75F7" w:rsidRPr="00686955" w:rsidRDefault="009A75F7" w:rsidP="009A75F7">
      <w:pPr>
        <w:spacing w:line="360" w:lineRule="auto"/>
        <w:rPr>
          <w:i/>
        </w:rPr>
      </w:pPr>
      <w:r w:rsidRPr="00686955">
        <w:rPr>
          <w:i/>
        </w:rPr>
        <w:t>Collecting leaves and measuring photosynthesis</w:t>
      </w:r>
    </w:p>
    <w:p w:rsidR="009A75F7" w:rsidRPr="00686955" w:rsidRDefault="009A75F7" w:rsidP="009A75F7">
      <w:pPr>
        <w:spacing w:line="360" w:lineRule="auto"/>
      </w:pPr>
      <w:r w:rsidRPr="00686955">
        <w:t xml:space="preserve">For the gas exchange measurements, five species that together represent </w:t>
      </w:r>
      <w:r>
        <w:t xml:space="preserve">less than </w:t>
      </w:r>
      <w:r w:rsidRPr="00686955">
        <w:t xml:space="preserve">50% of the basal area in the research plot were selected. The measured species were </w:t>
      </w:r>
      <w:proofErr w:type="spellStart"/>
      <w:r w:rsidRPr="00686955">
        <w:rPr>
          <w:i/>
        </w:rPr>
        <w:t>Weinnmania</w:t>
      </w:r>
      <w:proofErr w:type="spellEnd"/>
      <w:r w:rsidRPr="00686955">
        <w:rPr>
          <w:i/>
        </w:rPr>
        <w:t xml:space="preserve"> crassifolia</w:t>
      </w:r>
      <w:r w:rsidRPr="00686955">
        <w:t xml:space="preserve">, </w:t>
      </w:r>
      <w:proofErr w:type="spellStart"/>
      <w:r w:rsidRPr="00686955">
        <w:rPr>
          <w:i/>
        </w:rPr>
        <w:t>Clethra</w:t>
      </w:r>
      <w:proofErr w:type="spellEnd"/>
      <w:r w:rsidRPr="00686955">
        <w:rPr>
          <w:i/>
        </w:rPr>
        <w:t xml:space="preserve"> </w:t>
      </w:r>
      <w:proofErr w:type="spellStart"/>
      <w:r w:rsidRPr="00686955">
        <w:rPr>
          <w:i/>
        </w:rPr>
        <w:t>cuneata</w:t>
      </w:r>
      <w:proofErr w:type="spellEnd"/>
      <w:r w:rsidRPr="00686955">
        <w:t xml:space="preserve">, </w:t>
      </w:r>
      <w:proofErr w:type="spellStart"/>
      <w:r w:rsidRPr="00686955">
        <w:rPr>
          <w:i/>
          <w:iCs/>
        </w:rPr>
        <w:t>Schefflera</w:t>
      </w:r>
      <w:proofErr w:type="spellEnd"/>
      <w:r w:rsidRPr="00686955">
        <w:rPr>
          <w:i/>
          <w:iCs/>
        </w:rPr>
        <w:t xml:space="preserve"> </w:t>
      </w:r>
      <w:proofErr w:type="spellStart"/>
      <w:r w:rsidRPr="00686955">
        <w:rPr>
          <w:i/>
          <w:iCs/>
        </w:rPr>
        <w:t>allocotantha</w:t>
      </w:r>
      <w:proofErr w:type="spellEnd"/>
      <w:r w:rsidRPr="00686955">
        <w:t xml:space="preserve">, </w:t>
      </w:r>
      <w:r w:rsidR="00F170BB">
        <w:rPr>
          <w:i/>
        </w:rPr>
        <w:t xml:space="preserve">Clusia </w:t>
      </w:r>
      <w:proofErr w:type="spellStart"/>
      <w:r w:rsidR="00F170BB">
        <w:rPr>
          <w:i/>
        </w:rPr>
        <w:t>cre</w:t>
      </w:r>
      <w:r w:rsidRPr="00686955">
        <w:rPr>
          <w:i/>
        </w:rPr>
        <w:t>tosa</w:t>
      </w:r>
      <w:proofErr w:type="spellEnd"/>
      <w:r w:rsidRPr="00686955">
        <w:t xml:space="preserve"> and </w:t>
      </w:r>
      <w:proofErr w:type="spellStart"/>
      <w:r w:rsidRPr="00686955">
        <w:rPr>
          <w:i/>
        </w:rPr>
        <w:t>Prunus</w:t>
      </w:r>
      <w:proofErr w:type="spellEnd"/>
      <w:r w:rsidRPr="00686955">
        <w:t xml:space="preserve"> </w:t>
      </w:r>
      <w:proofErr w:type="spellStart"/>
      <w:r w:rsidRPr="00686955">
        <w:rPr>
          <w:i/>
        </w:rPr>
        <w:t>integrifolia</w:t>
      </w:r>
      <w:proofErr w:type="spellEnd"/>
      <w:r w:rsidRPr="00686955">
        <w:t>. From these species, 5-6 individual trees were selected.  For each tree we carried out CO</w:t>
      </w:r>
      <w:r w:rsidRPr="00686955">
        <w:rPr>
          <w:vertAlign w:val="subscript"/>
        </w:rPr>
        <w:t>2</w:t>
      </w:r>
      <w:r w:rsidRPr="00686955">
        <w:t xml:space="preserve"> response curves (</w:t>
      </w:r>
      <w:r w:rsidRPr="00686955">
        <w:rPr>
          <w:i/>
        </w:rPr>
        <w:t>A</w:t>
      </w:r>
      <w:r w:rsidRPr="00686955">
        <w:t>-</w:t>
      </w:r>
      <w:r w:rsidRPr="00686955">
        <w:rPr>
          <w:i/>
        </w:rPr>
        <w:t>C</w:t>
      </w:r>
      <w:r w:rsidRPr="00686955">
        <w:rPr>
          <w:vertAlign w:val="subscript"/>
        </w:rPr>
        <w:t xml:space="preserve">i </w:t>
      </w:r>
      <w:r w:rsidRPr="00686955">
        <w:t xml:space="preserve">curves) on leaves from the top (fully sunlit), middle and bottom part of the canopy, leading to a total of 82 </w:t>
      </w:r>
      <w:r w:rsidRPr="00686955">
        <w:rPr>
          <w:i/>
        </w:rPr>
        <w:t>A</w:t>
      </w:r>
      <w:r w:rsidRPr="00686955">
        <w:t>-</w:t>
      </w:r>
      <w:r w:rsidRPr="00686955">
        <w:rPr>
          <w:i/>
        </w:rPr>
        <w:t>C</w:t>
      </w:r>
      <w:r w:rsidRPr="00686955">
        <w:rPr>
          <w:vertAlign w:val="subscript"/>
        </w:rPr>
        <w:t>i</w:t>
      </w:r>
      <w:r w:rsidRPr="00686955">
        <w:t xml:space="preserve"> curves. </w:t>
      </w:r>
      <w:r>
        <w:t>T</w:t>
      </w:r>
      <w:r w:rsidRPr="00686955">
        <w:t>o get access to the canopy, branches were detached and immediately re-cut under water to reconstitute the water column (</w:t>
      </w:r>
      <w:proofErr w:type="spellStart"/>
      <w:r w:rsidRPr="00686955">
        <w:t>Domingues</w:t>
      </w:r>
      <w:proofErr w:type="spellEnd"/>
      <w:r w:rsidRPr="00686955">
        <w:t xml:space="preserve"> and others 2010). After detachment, </w:t>
      </w:r>
      <w:r w:rsidRPr="00686955">
        <w:rPr>
          <w:i/>
        </w:rPr>
        <w:t>A</w:t>
      </w:r>
      <w:r w:rsidRPr="00686955">
        <w:t>-</w:t>
      </w:r>
      <w:r w:rsidRPr="00686955">
        <w:rPr>
          <w:i/>
        </w:rPr>
        <w:t>C</w:t>
      </w:r>
      <w:r w:rsidRPr="00686955">
        <w:rPr>
          <w:vertAlign w:val="subscript"/>
        </w:rPr>
        <w:t xml:space="preserve">i </w:t>
      </w:r>
      <w:r w:rsidRPr="00686955">
        <w:t xml:space="preserve">curves were completed within 30-60 minutes. According to Santiago and </w:t>
      </w:r>
      <w:proofErr w:type="spellStart"/>
      <w:r w:rsidRPr="00686955">
        <w:t>Mulkey</w:t>
      </w:r>
      <w:proofErr w:type="spellEnd"/>
      <w:r w:rsidRPr="00686955">
        <w:t xml:space="preserve"> (2003), alterations in stomatal conductance during this process do not affect the calculation of </w:t>
      </w:r>
      <w:r w:rsidRPr="00686955">
        <w:rPr>
          <w:i/>
        </w:rPr>
        <w:t>V</w:t>
      </w:r>
      <w:r w:rsidRPr="00686955">
        <w:rPr>
          <w:vertAlign w:val="subscript"/>
        </w:rPr>
        <w:t>cmax</w:t>
      </w:r>
      <w:r w:rsidRPr="00686955">
        <w:t>, unless stomatal conductance (</w:t>
      </w:r>
      <w:proofErr w:type="spellStart"/>
      <w:r w:rsidRPr="00686955">
        <w:rPr>
          <w:i/>
        </w:rPr>
        <w:t>g</w:t>
      </w:r>
      <w:r w:rsidRPr="00686955">
        <w:rPr>
          <w:vertAlign w:val="subscript"/>
        </w:rPr>
        <w:t>s</w:t>
      </w:r>
      <w:proofErr w:type="spellEnd"/>
      <w:r w:rsidRPr="00686955">
        <w:t xml:space="preserve">) declines to very low levels. In cases of very low </w:t>
      </w:r>
      <w:proofErr w:type="spellStart"/>
      <w:r w:rsidRPr="00686955">
        <w:rPr>
          <w:i/>
        </w:rPr>
        <w:t>g</w:t>
      </w:r>
      <w:r w:rsidRPr="00686955">
        <w:rPr>
          <w:vertAlign w:val="subscript"/>
        </w:rPr>
        <w:t>s</w:t>
      </w:r>
      <w:proofErr w:type="spellEnd"/>
      <w:r w:rsidRPr="00686955">
        <w:t xml:space="preserve">, measurements were excluded from the dataset, leading to an ultimate dataset of 78 </w:t>
      </w:r>
      <w:r w:rsidRPr="00686955">
        <w:rPr>
          <w:i/>
        </w:rPr>
        <w:t>A</w:t>
      </w:r>
      <w:r w:rsidRPr="00686955">
        <w:t>-</w:t>
      </w:r>
      <w:r w:rsidRPr="00686955">
        <w:rPr>
          <w:i/>
        </w:rPr>
        <w:t>C</w:t>
      </w:r>
      <w:r w:rsidRPr="00686955">
        <w:rPr>
          <w:vertAlign w:val="subscript"/>
        </w:rPr>
        <w:t>i</w:t>
      </w:r>
      <w:r w:rsidRPr="00686955">
        <w:t xml:space="preserve"> curves.</w:t>
      </w:r>
    </w:p>
    <w:p w:rsidR="009A75F7" w:rsidRPr="00686955" w:rsidRDefault="009A75F7" w:rsidP="009A75F7">
      <w:pPr>
        <w:spacing w:line="360" w:lineRule="auto"/>
      </w:pPr>
    </w:p>
    <w:p w:rsidR="009A75F7" w:rsidRPr="00686955" w:rsidRDefault="009A75F7" w:rsidP="009A75F7">
      <w:pPr>
        <w:spacing w:line="360" w:lineRule="auto"/>
        <w:rPr>
          <w:i/>
        </w:rPr>
      </w:pPr>
      <w:r w:rsidRPr="00686955">
        <w:rPr>
          <w:i/>
        </w:rPr>
        <w:t>A-Ci curves</w:t>
      </w:r>
    </w:p>
    <w:p w:rsidR="009A75F7" w:rsidRPr="00686955" w:rsidRDefault="009A75F7" w:rsidP="009A75F7">
      <w:pPr>
        <w:spacing w:line="360" w:lineRule="auto"/>
      </w:pPr>
      <w:r w:rsidRPr="00686955">
        <w:t>Portable photosynthesis equipment (Li-</w:t>
      </w:r>
      <w:proofErr w:type="spellStart"/>
      <w:r w:rsidRPr="00686955">
        <w:t>Cor</w:t>
      </w:r>
      <w:proofErr w:type="spellEnd"/>
      <w:r w:rsidRPr="00686955">
        <w:t xml:space="preserve"> 6400, Li-</w:t>
      </w:r>
      <w:proofErr w:type="spellStart"/>
      <w:r w:rsidRPr="00686955">
        <w:t>Cor</w:t>
      </w:r>
      <w:proofErr w:type="spellEnd"/>
      <w:r w:rsidRPr="00686955">
        <w:t xml:space="preserve"> Inc, Lincoln, USA), fitted with an LED light source (6400-02B Red/Blue Light Source, Li-</w:t>
      </w:r>
      <w:proofErr w:type="spellStart"/>
      <w:r w:rsidRPr="00686955">
        <w:t>Cor</w:t>
      </w:r>
      <w:proofErr w:type="spellEnd"/>
      <w:r w:rsidRPr="00686955">
        <w:t xml:space="preserve">, Inc, Lincoln, USA), was used to carry out the </w:t>
      </w:r>
      <w:r w:rsidRPr="00686955">
        <w:rPr>
          <w:i/>
        </w:rPr>
        <w:t>A</w:t>
      </w:r>
      <w:r w:rsidRPr="00686955">
        <w:t>-</w:t>
      </w:r>
      <w:r w:rsidRPr="00686955">
        <w:rPr>
          <w:i/>
        </w:rPr>
        <w:t>C</w:t>
      </w:r>
      <w:r w:rsidRPr="00686955">
        <w:rPr>
          <w:vertAlign w:val="subscript"/>
        </w:rPr>
        <w:t xml:space="preserve">i </w:t>
      </w:r>
      <w:r w:rsidRPr="00686955">
        <w:t xml:space="preserve">curves, following the procedural guidelines in Long and </w:t>
      </w:r>
      <w:proofErr w:type="spellStart"/>
      <w:r w:rsidRPr="00686955">
        <w:t>Bernaccchi</w:t>
      </w:r>
      <w:proofErr w:type="spellEnd"/>
      <w:r w:rsidRPr="00686955">
        <w:t xml:space="preserve"> (2003) with CO</w:t>
      </w:r>
      <w:r w:rsidRPr="00686955">
        <w:rPr>
          <w:vertAlign w:val="subscript"/>
        </w:rPr>
        <w:t>2</w:t>
      </w:r>
      <w:r w:rsidRPr="00686955">
        <w:t xml:space="preserve"> concentrations inside the chamber ranging from 50 to 2000 ppm (in the order of 400,300, 200,100, 50, 400, 700, 900, 1200,1600, 2000 ppm CO</w:t>
      </w:r>
      <w:r w:rsidRPr="00686955">
        <w:rPr>
          <w:vertAlign w:val="subscript"/>
        </w:rPr>
        <w:t>2</w:t>
      </w:r>
      <w:r w:rsidRPr="00686955">
        <w:t xml:space="preserve">).  Prior to conducting </w:t>
      </w:r>
      <w:r w:rsidRPr="00686955">
        <w:rPr>
          <w:i/>
        </w:rPr>
        <w:t>A</w:t>
      </w:r>
      <w:r w:rsidRPr="00686955">
        <w:t>-</w:t>
      </w:r>
      <w:r w:rsidRPr="00686955">
        <w:rPr>
          <w:i/>
        </w:rPr>
        <w:t>C</w:t>
      </w:r>
      <w:r w:rsidRPr="00686955">
        <w:rPr>
          <w:vertAlign w:val="subscript"/>
        </w:rPr>
        <w:t xml:space="preserve">i </w:t>
      </w:r>
      <w:r w:rsidRPr="00686955">
        <w:t>curves, we tested what the light-saturated levels of photosynthetic active radiation (PAR) w</w:t>
      </w:r>
      <w:r>
        <w:t>ere</w:t>
      </w:r>
      <w:r w:rsidRPr="00686955">
        <w:t xml:space="preserve"> per canopy layer. Values higher than these photon flux densities lead to decreases in photosynthesis, probably caused by photo damage. We used PAR values of 1200 </w:t>
      </w:r>
      <w:r w:rsidRPr="00686955">
        <w:sym w:font="Symbol" w:char="F06D"/>
      </w:r>
      <w:r w:rsidRPr="00686955">
        <w:t>mol m</w:t>
      </w:r>
      <w:r w:rsidRPr="00686955">
        <w:rPr>
          <w:vertAlign w:val="superscript"/>
        </w:rPr>
        <w:t>-2</w:t>
      </w:r>
      <w:r w:rsidRPr="00686955">
        <w:t xml:space="preserve"> s</w:t>
      </w:r>
      <w:r w:rsidRPr="00686955">
        <w:rPr>
          <w:vertAlign w:val="superscript"/>
        </w:rPr>
        <w:t>-1</w:t>
      </w:r>
      <w:r w:rsidRPr="00686955">
        <w:t xml:space="preserve"> for top canopy leaves, 700 </w:t>
      </w:r>
      <w:r w:rsidRPr="00686955">
        <w:sym w:font="Symbol" w:char="F06D"/>
      </w:r>
      <w:r w:rsidRPr="00686955">
        <w:t>mol m</w:t>
      </w:r>
      <w:r w:rsidRPr="00686955">
        <w:rPr>
          <w:vertAlign w:val="superscript"/>
        </w:rPr>
        <w:t>-2</w:t>
      </w:r>
      <w:r w:rsidRPr="00686955">
        <w:t xml:space="preserve"> s</w:t>
      </w:r>
      <w:r w:rsidRPr="00686955">
        <w:rPr>
          <w:vertAlign w:val="superscript"/>
        </w:rPr>
        <w:t>-1</w:t>
      </w:r>
      <w:r w:rsidRPr="00686955">
        <w:t xml:space="preserve"> for middle canopy leaves and 500 </w:t>
      </w:r>
      <w:r w:rsidRPr="00686955">
        <w:sym w:font="Symbol" w:char="F06D"/>
      </w:r>
      <w:r w:rsidRPr="00686955">
        <w:t>mol m</w:t>
      </w:r>
      <w:r w:rsidRPr="00686955">
        <w:rPr>
          <w:vertAlign w:val="superscript"/>
        </w:rPr>
        <w:t>-2</w:t>
      </w:r>
      <w:r w:rsidRPr="00686955">
        <w:t xml:space="preserve"> s</w:t>
      </w:r>
      <w:r w:rsidRPr="00686955">
        <w:rPr>
          <w:vertAlign w:val="superscript"/>
        </w:rPr>
        <w:t>-1</w:t>
      </w:r>
      <w:r w:rsidRPr="00686955">
        <w:t xml:space="preserve"> for lower canopy leaves for the </w:t>
      </w:r>
      <w:r w:rsidRPr="00686955">
        <w:rPr>
          <w:i/>
        </w:rPr>
        <w:t>A-C</w:t>
      </w:r>
      <w:r w:rsidRPr="00686955">
        <w:t>i curves. Relative humidity was maintained at ambient levels, but never over 80 %.</w:t>
      </w:r>
    </w:p>
    <w:p w:rsidR="009A75F7" w:rsidRPr="00686955" w:rsidRDefault="009A75F7" w:rsidP="009A75F7">
      <w:pPr>
        <w:spacing w:line="360" w:lineRule="auto"/>
        <w:rPr>
          <w:i/>
        </w:rPr>
      </w:pPr>
    </w:p>
    <w:p w:rsidR="009A75F7" w:rsidRPr="00686955" w:rsidRDefault="009A75F7" w:rsidP="009A75F7">
      <w:pPr>
        <w:spacing w:line="360" w:lineRule="auto"/>
      </w:pPr>
      <w:r w:rsidRPr="00686955">
        <w:lastRenderedPageBreak/>
        <w:t xml:space="preserve">A curve fitting routine similar to </w:t>
      </w:r>
      <w:proofErr w:type="spellStart"/>
      <w:r w:rsidRPr="00686955">
        <w:t>Domingues</w:t>
      </w:r>
      <w:proofErr w:type="spellEnd"/>
      <w:r w:rsidRPr="00686955">
        <w:t xml:space="preserve"> and others (2010) was used to analy</w:t>
      </w:r>
      <w:r>
        <w:t>z</w:t>
      </w:r>
      <w:r w:rsidRPr="00686955">
        <w:t xml:space="preserve">e the </w:t>
      </w:r>
      <w:r w:rsidRPr="00686955">
        <w:rPr>
          <w:i/>
        </w:rPr>
        <w:t>A</w:t>
      </w:r>
      <w:r w:rsidRPr="00686955">
        <w:t>-</w:t>
      </w:r>
      <w:r w:rsidRPr="00686955">
        <w:rPr>
          <w:i/>
        </w:rPr>
        <w:t>C</w:t>
      </w:r>
      <w:r w:rsidRPr="00686955">
        <w:rPr>
          <w:vertAlign w:val="subscript"/>
        </w:rPr>
        <w:t xml:space="preserve">i </w:t>
      </w:r>
      <w:r w:rsidRPr="00686955">
        <w:t xml:space="preserve">curves to calculate </w:t>
      </w:r>
      <w:r w:rsidRPr="00686955">
        <w:rPr>
          <w:i/>
        </w:rPr>
        <w:t>V</w:t>
      </w:r>
      <w:r w:rsidRPr="00686955">
        <w:rPr>
          <w:vertAlign w:val="subscript"/>
        </w:rPr>
        <w:t xml:space="preserve">cmax </w:t>
      </w:r>
      <w:r w:rsidRPr="00686955">
        <w:t xml:space="preserve">and </w:t>
      </w:r>
      <w:r w:rsidRPr="00686955">
        <w:rPr>
          <w:i/>
        </w:rPr>
        <w:t>J</w:t>
      </w:r>
      <w:r w:rsidRPr="00686955">
        <w:rPr>
          <w:vertAlign w:val="subscript"/>
        </w:rPr>
        <w:t>max</w:t>
      </w:r>
      <w:r w:rsidRPr="00686955">
        <w:t>. The curve fitting is based on minimum least-squares and was developed for use in an “R” environment (R Development Core Team 2008). The fits were obtained using the Farquhar biochemical model of leaf photosynthesis (Farquhar and others 1980</w:t>
      </w:r>
      <w:r>
        <w:t>;</w:t>
      </w:r>
      <w:r w:rsidRPr="00686955">
        <w:t xml:space="preserve"> von </w:t>
      </w:r>
      <w:proofErr w:type="spellStart"/>
      <w:r w:rsidRPr="00686955">
        <w:t>Caemmerer</w:t>
      </w:r>
      <w:proofErr w:type="spellEnd"/>
      <w:r w:rsidRPr="00686955">
        <w:t xml:space="preserve"> and Quick 2000), with a modification for triose phosphate </w:t>
      </w:r>
      <w:r w:rsidRPr="00686955">
        <w:rPr>
          <w:i/>
          <w:iCs/>
        </w:rPr>
        <w:t>utilization</w:t>
      </w:r>
      <w:r w:rsidRPr="00686955">
        <w:t xml:space="preserve"> (TPU) by Harley and others (1992). The enzymatic kinetic constants were taken from von </w:t>
      </w:r>
      <w:proofErr w:type="spellStart"/>
      <w:r w:rsidRPr="00686955">
        <w:t>Caemmerer</w:t>
      </w:r>
      <w:proofErr w:type="spellEnd"/>
      <w:r w:rsidRPr="00686955">
        <w:t xml:space="preserve"> and Quick (2000), assuming an infinite internal conductance term. </w:t>
      </w:r>
    </w:p>
    <w:p w:rsidR="009A75F7" w:rsidRPr="00686955" w:rsidRDefault="009A75F7" w:rsidP="009A75F7">
      <w:pPr>
        <w:spacing w:line="360" w:lineRule="auto"/>
      </w:pPr>
    </w:p>
    <w:p w:rsidR="009A75F7" w:rsidRPr="00686955" w:rsidRDefault="009A75F7" w:rsidP="009A75F7">
      <w:pPr>
        <w:spacing w:line="360" w:lineRule="auto"/>
        <w:rPr>
          <w:sz w:val="20"/>
          <w:szCs w:val="20"/>
        </w:rPr>
      </w:pPr>
      <w:r w:rsidRPr="00686955">
        <w:rPr>
          <w:sz w:val="20"/>
          <w:szCs w:val="20"/>
        </w:rPr>
        <w:t xml:space="preserve">Table A. Relative </w:t>
      </w:r>
      <w:r>
        <w:rPr>
          <w:sz w:val="20"/>
          <w:szCs w:val="20"/>
        </w:rPr>
        <w:t>V</w:t>
      </w:r>
      <w:r w:rsidRPr="00686955">
        <w:rPr>
          <w:sz w:val="20"/>
          <w:szCs w:val="20"/>
        </w:rPr>
        <w:t xml:space="preserve">alues of the </w:t>
      </w:r>
      <w:r>
        <w:rPr>
          <w:sz w:val="20"/>
          <w:szCs w:val="20"/>
        </w:rPr>
        <w:t>B</w:t>
      </w:r>
      <w:r w:rsidRPr="00686955">
        <w:rPr>
          <w:sz w:val="20"/>
          <w:szCs w:val="20"/>
        </w:rPr>
        <w:t xml:space="preserve">asal </w:t>
      </w:r>
      <w:r>
        <w:rPr>
          <w:sz w:val="20"/>
          <w:szCs w:val="20"/>
        </w:rPr>
        <w:t>A</w:t>
      </w:r>
      <w:r w:rsidRPr="00686955">
        <w:rPr>
          <w:sz w:val="20"/>
          <w:szCs w:val="20"/>
        </w:rPr>
        <w:t xml:space="preserve">rea per </w:t>
      </w:r>
      <w:r>
        <w:rPr>
          <w:sz w:val="20"/>
          <w:szCs w:val="20"/>
        </w:rPr>
        <w:t>S</w:t>
      </w:r>
      <w:r w:rsidRPr="00686955">
        <w:rPr>
          <w:sz w:val="20"/>
          <w:szCs w:val="20"/>
        </w:rPr>
        <w:t>pecies (</w:t>
      </w:r>
      <w:r w:rsidRPr="00DC417D">
        <w:rPr>
          <w:i/>
          <w:sz w:val="20"/>
          <w:szCs w:val="20"/>
        </w:rPr>
        <w:t>bottom</w:t>
      </w:r>
      <w:r w:rsidRPr="00686955">
        <w:rPr>
          <w:sz w:val="20"/>
          <w:szCs w:val="20"/>
        </w:rPr>
        <w:t xml:space="preserve">) and the </w:t>
      </w:r>
      <w:r>
        <w:rPr>
          <w:sz w:val="20"/>
          <w:szCs w:val="20"/>
        </w:rPr>
        <w:t>R</w:t>
      </w:r>
      <w:r w:rsidRPr="00686955">
        <w:rPr>
          <w:sz w:val="20"/>
          <w:szCs w:val="20"/>
        </w:rPr>
        <w:t xml:space="preserve">elative LAI per </w:t>
      </w:r>
      <w:r>
        <w:rPr>
          <w:sz w:val="20"/>
          <w:szCs w:val="20"/>
        </w:rPr>
        <w:t>C</w:t>
      </w:r>
      <w:r w:rsidRPr="00686955">
        <w:rPr>
          <w:sz w:val="20"/>
          <w:szCs w:val="20"/>
        </w:rPr>
        <w:t xml:space="preserve">anopy </w:t>
      </w:r>
      <w:r>
        <w:rPr>
          <w:sz w:val="20"/>
          <w:szCs w:val="20"/>
        </w:rPr>
        <w:t>L</w:t>
      </w:r>
      <w:r w:rsidRPr="00686955">
        <w:rPr>
          <w:sz w:val="20"/>
          <w:szCs w:val="20"/>
        </w:rPr>
        <w:t xml:space="preserve">ayer as </w:t>
      </w:r>
      <w:r>
        <w:rPr>
          <w:sz w:val="20"/>
          <w:szCs w:val="20"/>
        </w:rPr>
        <w:t>U</w:t>
      </w:r>
      <w:r w:rsidRPr="00686955">
        <w:rPr>
          <w:sz w:val="20"/>
          <w:szCs w:val="20"/>
        </w:rPr>
        <w:t xml:space="preserve">sed for </w:t>
      </w:r>
      <w:r>
        <w:rPr>
          <w:sz w:val="20"/>
          <w:szCs w:val="20"/>
        </w:rPr>
        <w:t>C</w:t>
      </w:r>
      <w:r w:rsidRPr="00686955">
        <w:rPr>
          <w:sz w:val="20"/>
          <w:szCs w:val="20"/>
        </w:rPr>
        <w:t xml:space="preserve">alculating the </w:t>
      </w:r>
      <w:r>
        <w:rPr>
          <w:sz w:val="20"/>
          <w:szCs w:val="20"/>
        </w:rPr>
        <w:t>A</w:t>
      </w:r>
      <w:r w:rsidRPr="00686955">
        <w:rPr>
          <w:sz w:val="20"/>
          <w:szCs w:val="20"/>
        </w:rPr>
        <w:t xml:space="preserve">verage </w:t>
      </w:r>
      <w:r w:rsidRPr="00686955">
        <w:rPr>
          <w:i/>
          <w:sz w:val="20"/>
          <w:szCs w:val="20"/>
        </w:rPr>
        <w:t>V</w:t>
      </w:r>
      <w:r w:rsidRPr="00686955">
        <w:rPr>
          <w:sz w:val="20"/>
          <w:szCs w:val="20"/>
          <w:vertAlign w:val="subscript"/>
        </w:rPr>
        <w:t>cmax</w:t>
      </w:r>
      <w:r w:rsidRPr="00686955">
        <w:rPr>
          <w:sz w:val="20"/>
          <w:szCs w:val="20"/>
        </w:rPr>
        <w:t xml:space="preserve"> and </w:t>
      </w:r>
      <w:r w:rsidRPr="00686955">
        <w:rPr>
          <w:i/>
          <w:sz w:val="20"/>
          <w:szCs w:val="20"/>
        </w:rPr>
        <w:t>J</w:t>
      </w:r>
      <w:r w:rsidRPr="00686955">
        <w:rPr>
          <w:sz w:val="20"/>
          <w:szCs w:val="20"/>
          <w:vertAlign w:val="subscript"/>
        </w:rPr>
        <w:t xml:space="preserve">max </w:t>
      </w:r>
      <w:r w:rsidRPr="00686955">
        <w:rPr>
          <w:sz w:val="20"/>
          <w:szCs w:val="20"/>
        </w:rPr>
        <w:t xml:space="preserve">per </w:t>
      </w:r>
      <w:r>
        <w:rPr>
          <w:sz w:val="20"/>
          <w:szCs w:val="20"/>
        </w:rPr>
        <w:t>C</w:t>
      </w:r>
      <w:r w:rsidRPr="00686955">
        <w:rPr>
          <w:sz w:val="20"/>
          <w:szCs w:val="20"/>
        </w:rPr>
        <w:t xml:space="preserve">anopy </w:t>
      </w:r>
      <w:r>
        <w:rPr>
          <w:sz w:val="20"/>
          <w:szCs w:val="20"/>
        </w:rPr>
        <w:t>L</w:t>
      </w:r>
      <w:r w:rsidRPr="00686955">
        <w:rPr>
          <w:sz w:val="20"/>
          <w:szCs w:val="20"/>
        </w:rPr>
        <w:t xml:space="preserve">ayer the SPA </w:t>
      </w:r>
      <w:r>
        <w:rPr>
          <w:sz w:val="20"/>
          <w:szCs w:val="20"/>
        </w:rPr>
        <w:t>M</w:t>
      </w:r>
      <w:r w:rsidRPr="00686955">
        <w:rPr>
          <w:sz w:val="20"/>
          <w:szCs w:val="20"/>
        </w:rPr>
        <w:t xml:space="preserve">odel </w:t>
      </w:r>
    </w:p>
    <w:tbl>
      <w:tblPr>
        <w:tblW w:w="9402" w:type="dxa"/>
        <w:tblInd w:w="93" w:type="dxa"/>
        <w:tblLook w:val="04A0"/>
      </w:tblPr>
      <w:tblGrid>
        <w:gridCol w:w="1844"/>
        <w:gridCol w:w="1550"/>
        <w:gridCol w:w="1502"/>
        <w:gridCol w:w="1502"/>
        <w:gridCol w:w="1502"/>
        <w:gridCol w:w="1502"/>
      </w:tblGrid>
      <w:tr w:rsidR="009A75F7" w:rsidRPr="00686955" w:rsidTr="009C3978">
        <w:trPr>
          <w:trHeight w:val="638"/>
        </w:trPr>
        <w:tc>
          <w:tcPr>
            <w:tcW w:w="9402" w:type="dxa"/>
            <w:gridSpan w:val="6"/>
            <w:tcBorders>
              <w:top w:val="single" w:sz="4" w:space="0" w:color="auto"/>
              <w:bottom w:val="single" w:sz="4" w:space="0" w:color="auto"/>
            </w:tcBorders>
            <w:shd w:val="clear" w:color="auto" w:fill="auto"/>
            <w:noWrap/>
            <w:vAlign w:val="center"/>
            <w:hideMark/>
          </w:tcPr>
          <w:p w:rsidR="009A75F7" w:rsidRPr="00686955" w:rsidRDefault="009A75F7" w:rsidP="009C3978">
            <w:pPr>
              <w:jc w:val="center"/>
              <w:rPr>
                <w:b/>
                <w:color w:val="000000"/>
              </w:rPr>
            </w:pPr>
            <w:r w:rsidRPr="00686955">
              <w:rPr>
                <w:b/>
                <w:color w:val="000000"/>
              </w:rPr>
              <w:t>Relative LAI per species (sum per species =1)</w:t>
            </w:r>
          </w:p>
        </w:tc>
      </w:tr>
      <w:tr w:rsidR="009A75F7" w:rsidRPr="00686955" w:rsidTr="009C3978">
        <w:trPr>
          <w:trHeight w:val="1052"/>
        </w:trPr>
        <w:tc>
          <w:tcPr>
            <w:tcW w:w="1844" w:type="dxa"/>
            <w:tcBorders>
              <w:top w:val="single" w:sz="4" w:space="0" w:color="auto"/>
              <w:bottom w:val="single" w:sz="4" w:space="0" w:color="auto"/>
            </w:tcBorders>
            <w:shd w:val="clear" w:color="auto" w:fill="auto"/>
            <w:noWrap/>
            <w:vAlign w:val="center"/>
          </w:tcPr>
          <w:p w:rsidR="009A75F7" w:rsidRPr="00686955" w:rsidRDefault="009A75F7" w:rsidP="009C3978">
            <w:pPr>
              <w:jc w:val="center"/>
              <w:rPr>
                <w:b/>
                <w:color w:val="000000"/>
              </w:rPr>
            </w:pPr>
            <w:r w:rsidRPr="00686955">
              <w:rPr>
                <w:b/>
                <w:color w:val="000000"/>
              </w:rPr>
              <w:t>Canopy Layer in  SPA Model</w:t>
            </w:r>
          </w:p>
        </w:tc>
        <w:tc>
          <w:tcPr>
            <w:tcW w:w="1550" w:type="dxa"/>
            <w:tcBorders>
              <w:top w:val="single" w:sz="4" w:space="0" w:color="auto"/>
              <w:bottom w:val="single" w:sz="4" w:space="0" w:color="auto"/>
            </w:tcBorders>
            <w:shd w:val="clear" w:color="auto" w:fill="auto"/>
            <w:noWrap/>
            <w:vAlign w:val="center"/>
          </w:tcPr>
          <w:p w:rsidR="009A75F7" w:rsidRPr="00686955" w:rsidRDefault="009A75F7" w:rsidP="009C3978">
            <w:pPr>
              <w:jc w:val="center"/>
              <w:rPr>
                <w:i/>
                <w:color w:val="000000"/>
              </w:rPr>
            </w:pPr>
            <w:proofErr w:type="spellStart"/>
            <w:r w:rsidRPr="00686955">
              <w:rPr>
                <w:i/>
                <w:color w:val="000000"/>
              </w:rPr>
              <w:t>Schefflera</w:t>
            </w:r>
            <w:proofErr w:type="spellEnd"/>
            <w:r w:rsidRPr="00686955">
              <w:rPr>
                <w:i/>
                <w:color w:val="000000"/>
              </w:rPr>
              <w:t xml:space="preserve"> </w:t>
            </w:r>
            <w:proofErr w:type="spellStart"/>
            <w:r w:rsidRPr="00686955">
              <w:rPr>
                <w:i/>
                <w:color w:val="000000"/>
              </w:rPr>
              <w:t>alloconthanta</w:t>
            </w:r>
            <w:proofErr w:type="spellEnd"/>
          </w:p>
        </w:tc>
        <w:tc>
          <w:tcPr>
            <w:tcW w:w="1502" w:type="dxa"/>
            <w:tcBorders>
              <w:top w:val="single" w:sz="4" w:space="0" w:color="auto"/>
              <w:bottom w:val="single" w:sz="4" w:space="0" w:color="auto"/>
            </w:tcBorders>
            <w:shd w:val="clear" w:color="auto" w:fill="auto"/>
            <w:noWrap/>
            <w:vAlign w:val="center"/>
          </w:tcPr>
          <w:p w:rsidR="009A75F7" w:rsidRPr="00686955" w:rsidRDefault="009A75F7" w:rsidP="009C3978">
            <w:pPr>
              <w:jc w:val="center"/>
              <w:rPr>
                <w:i/>
                <w:color w:val="000000"/>
              </w:rPr>
            </w:pPr>
            <w:proofErr w:type="spellStart"/>
            <w:r w:rsidRPr="00686955">
              <w:rPr>
                <w:i/>
                <w:color w:val="000000"/>
              </w:rPr>
              <w:t>Prunus</w:t>
            </w:r>
            <w:proofErr w:type="spellEnd"/>
            <w:r w:rsidRPr="00686955">
              <w:rPr>
                <w:i/>
                <w:color w:val="000000"/>
              </w:rPr>
              <w:t xml:space="preserve"> </w:t>
            </w:r>
            <w:proofErr w:type="spellStart"/>
            <w:r w:rsidRPr="00686955">
              <w:rPr>
                <w:i/>
                <w:color w:val="000000"/>
              </w:rPr>
              <w:t>integrifolia</w:t>
            </w:r>
            <w:proofErr w:type="spellEnd"/>
          </w:p>
        </w:tc>
        <w:tc>
          <w:tcPr>
            <w:tcW w:w="1502" w:type="dxa"/>
            <w:tcBorders>
              <w:top w:val="single" w:sz="4" w:space="0" w:color="auto"/>
              <w:bottom w:val="single" w:sz="4" w:space="0" w:color="auto"/>
            </w:tcBorders>
            <w:shd w:val="clear" w:color="auto" w:fill="auto"/>
            <w:noWrap/>
            <w:vAlign w:val="center"/>
          </w:tcPr>
          <w:p w:rsidR="009A75F7" w:rsidRPr="00686955" w:rsidRDefault="009A75F7" w:rsidP="009C3978">
            <w:pPr>
              <w:jc w:val="center"/>
              <w:rPr>
                <w:i/>
                <w:color w:val="000000"/>
              </w:rPr>
            </w:pPr>
            <w:r w:rsidRPr="00686955">
              <w:rPr>
                <w:i/>
                <w:color w:val="000000"/>
              </w:rPr>
              <w:t>Weinmannia  Crassifolia</w:t>
            </w:r>
          </w:p>
        </w:tc>
        <w:tc>
          <w:tcPr>
            <w:tcW w:w="1502" w:type="dxa"/>
            <w:tcBorders>
              <w:top w:val="single" w:sz="4" w:space="0" w:color="auto"/>
              <w:bottom w:val="single" w:sz="4" w:space="0" w:color="auto"/>
            </w:tcBorders>
            <w:shd w:val="clear" w:color="auto" w:fill="auto"/>
            <w:noWrap/>
            <w:vAlign w:val="center"/>
          </w:tcPr>
          <w:p w:rsidR="009A75F7" w:rsidRPr="00686955" w:rsidRDefault="009A75F7" w:rsidP="009C3978">
            <w:pPr>
              <w:jc w:val="center"/>
              <w:rPr>
                <w:i/>
                <w:color w:val="000000"/>
              </w:rPr>
            </w:pPr>
            <w:proofErr w:type="spellStart"/>
            <w:r w:rsidRPr="00686955">
              <w:rPr>
                <w:i/>
                <w:color w:val="000000"/>
              </w:rPr>
              <w:t>Clethra</w:t>
            </w:r>
            <w:proofErr w:type="spellEnd"/>
            <w:r w:rsidRPr="00686955">
              <w:rPr>
                <w:i/>
                <w:color w:val="000000"/>
              </w:rPr>
              <w:t xml:space="preserve"> </w:t>
            </w:r>
            <w:proofErr w:type="spellStart"/>
            <w:r w:rsidRPr="00686955">
              <w:rPr>
                <w:i/>
                <w:color w:val="000000"/>
              </w:rPr>
              <w:t>cuneata</w:t>
            </w:r>
            <w:proofErr w:type="spellEnd"/>
          </w:p>
        </w:tc>
        <w:tc>
          <w:tcPr>
            <w:tcW w:w="1502" w:type="dxa"/>
            <w:tcBorders>
              <w:top w:val="single" w:sz="4" w:space="0" w:color="auto"/>
              <w:bottom w:val="single" w:sz="4" w:space="0" w:color="auto"/>
            </w:tcBorders>
            <w:shd w:val="clear" w:color="auto" w:fill="auto"/>
            <w:noWrap/>
            <w:vAlign w:val="center"/>
          </w:tcPr>
          <w:p w:rsidR="009A75F7" w:rsidRPr="00686955" w:rsidRDefault="009A75F7" w:rsidP="009C3978">
            <w:pPr>
              <w:jc w:val="center"/>
              <w:rPr>
                <w:i/>
                <w:color w:val="000000"/>
              </w:rPr>
            </w:pPr>
            <w:r w:rsidRPr="00686955">
              <w:rPr>
                <w:i/>
                <w:color w:val="000000"/>
              </w:rPr>
              <w:t xml:space="preserve">Clusia </w:t>
            </w:r>
            <w:proofErr w:type="spellStart"/>
            <w:r w:rsidRPr="00686955">
              <w:rPr>
                <w:i/>
                <w:color w:val="000000"/>
              </w:rPr>
              <w:t>cretosa</w:t>
            </w:r>
            <w:proofErr w:type="spellEnd"/>
          </w:p>
        </w:tc>
      </w:tr>
      <w:tr w:rsidR="009A75F7" w:rsidRPr="00686955" w:rsidTr="009C3978">
        <w:trPr>
          <w:trHeight w:val="135"/>
        </w:trPr>
        <w:tc>
          <w:tcPr>
            <w:tcW w:w="1844" w:type="dxa"/>
            <w:tcBorders>
              <w:top w:val="single" w:sz="4" w:space="0" w:color="auto"/>
            </w:tcBorders>
            <w:shd w:val="clear" w:color="auto" w:fill="auto"/>
            <w:noWrap/>
            <w:vAlign w:val="center"/>
            <w:hideMark/>
          </w:tcPr>
          <w:p w:rsidR="009A75F7" w:rsidRPr="00686955" w:rsidRDefault="009A75F7" w:rsidP="009C3978">
            <w:pPr>
              <w:jc w:val="center"/>
              <w:rPr>
                <w:color w:val="000000"/>
              </w:rPr>
            </w:pPr>
            <w:r w:rsidRPr="00686955">
              <w:rPr>
                <w:color w:val="000000"/>
              </w:rPr>
              <w:t>1</w:t>
            </w:r>
          </w:p>
        </w:tc>
        <w:tc>
          <w:tcPr>
            <w:tcW w:w="1550" w:type="dxa"/>
            <w:tcBorders>
              <w:top w:val="single" w:sz="4" w:space="0" w:color="auto"/>
            </w:tcBorders>
            <w:shd w:val="clear" w:color="auto" w:fill="auto"/>
            <w:noWrap/>
            <w:vAlign w:val="center"/>
            <w:hideMark/>
          </w:tcPr>
          <w:p w:rsidR="009A75F7" w:rsidRPr="00686955" w:rsidRDefault="009A75F7" w:rsidP="009C3978">
            <w:pPr>
              <w:jc w:val="center"/>
              <w:rPr>
                <w:color w:val="000000"/>
              </w:rPr>
            </w:pPr>
            <w:r w:rsidRPr="00686955">
              <w:rPr>
                <w:color w:val="000000"/>
              </w:rPr>
              <w:t>0.341</w:t>
            </w:r>
          </w:p>
        </w:tc>
        <w:tc>
          <w:tcPr>
            <w:tcW w:w="1502" w:type="dxa"/>
            <w:tcBorders>
              <w:top w:val="single" w:sz="4" w:space="0" w:color="auto"/>
            </w:tcBorders>
            <w:shd w:val="clear" w:color="auto" w:fill="auto"/>
            <w:noWrap/>
            <w:vAlign w:val="center"/>
            <w:hideMark/>
          </w:tcPr>
          <w:p w:rsidR="009A75F7" w:rsidRPr="00686955" w:rsidRDefault="009A75F7" w:rsidP="009C3978">
            <w:pPr>
              <w:jc w:val="center"/>
              <w:rPr>
                <w:color w:val="000000"/>
              </w:rPr>
            </w:pPr>
            <w:r w:rsidRPr="00686955">
              <w:rPr>
                <w:color w:val="000000"/>
              </w:rPr>
              <w:t>0.324</w:t>
            </w:r>
          </w:p>
        </w:tc>
        <w:tc>
          <w:tcPr>
            <w:tcW w:w="1502" w:type="dxa"/>
            <w:tcBorders>
              <w:top w:val="single" w:sz="4" w:space="0" w:color="auto"/>
            </w:tcBorders>
            <w:shd w:val="clear" w:color="auto" w:fill="auto"/>
            <w:noWrap/>
            <w:vAlign w:val="center"/>
            <w:hideMark/>
          </w:tcPr>
          <w:p w:rsidR="009A75F7" w:rsidRPr="00686955" w:rsidRDefault="009A75F7" w:rsidP="009C3978">
            <w:pPr>
              <w:jc w:val="center"/>
              <w:rPr>
                <w:color w:val="000000"/>
              </w:rPr>
            </w:pPr>
            <w:r w:rsidRPr="00686955">
              <w:rPr>
                <w:color w:val="000000"/>
              </w:rPr>
              <w:t>0.197</w:t>
            </w:r>
          </w:p>
        </w:tc>
        <w:tc>
          <w:tcPr>
            <w:tcW w:w="1502" w:type="dxa"/>
            <w:tcBorders>
              <w:top w:val="single" w:sz="4" w:space="0" w:color="auto"/>
            </w:tcBorders>
            <w:shd w:val="clear" w:color="auto" w:fill="auto"/>
            <w:noWrap/>
            <w:vAlign w:val="center"/>
            <w:hideMark/>
          </w:tcPr>
          <w:p w:rsidR="009A75F7" w:rsidRPr="00686955" w:rsidRDefault="009A75F7" w:rsidP="009C3978">
            <w:pPr>
              <w:jc w:val="center"/>
              <w:rPr>
                <w:color w:val="000000"/>
              </w:rPr>
            </w:pPr>
            <w:r w:rsidRPr="00686955">
              <w:rPr>
                <w:color w:val="000000"/>
              </w:rPr>
              <w:t>0.218</w:t>
            </w:r>
          </w:p>
        </w:tc>
        <w:tc>
          <w:tcPr>
            <w:tcW w:w="1502" w:type="dxa"/>
            <w:tcBorders>
              <w:top w:val="single" w:sz="4" w:space="0" w:color="auto"/>
            </w:tcBorders>
            <w:shd w:val="clear" w:color="auto" w:fill="auto"/>
            <w:noWrap/>
            <w:vAlign w:val="center"/>
            <w:hideMark/>
          </w:tcPr>
          <w:p w:rsidR="009A75F7" w:rsidRPr="00686955" w:rsidRDefault="009A75F7" w:rsidP="009C3978">
            <w:pPr>
              <w:jc w:val="center"/>
              <w:rPr>
                <w:color w:val="000000"/>
              </w:rPr>
            </w:pPr>
            <w:r w:rsidRPr="00686955">
              <w:rPr>
                <w:color w:val="000000"/>
              </w:rPr>
              <w:t>0.152</w:t>
            </w:r>
          </w:p>
        </w:tc>
      </w:tr>
      <w:tr w:rsidR="009A75F7" w:rsidRPr="00686955" w:rsidTr="009C3978">
        <w:trPr>
          <w:trHeight w:val="401"/>
        </w:trPr>
        <w:tc>
          <w:tcPr>
            <w:tcW w:w="1844" w:type="dxa"/>
            <w:shd w:val="clear" w:color="auto" w:fill="auto"/>
            <w:noWrap/>
            <w:vAlign w:val="center"/>
            <w:hideMark/>
          </w:tcPr>
          <w:p w:rsidR="009A75F7" w:rsidRPr="00686955" w:rsidRDefault="009A75F7" w:rsidP="009C3978">
            <w:pPr>
              <w:jc w:val="center"/>
              <w:rPr>
                <w:color w:val="000000"/>
              </w:rPr>
            </w:pPr>
            <w:r w:rsidRPr="00686955">
              <w:rPr>
                <w:color w:val="000000"/>
              </w:rPr>
              <w:t>2</w:t>
            </w:r>
          </w:p>
        </w:tc>
        <w:tc>
          <w:tcPr>
            <w:tcW w:w="1550" w:type="dxa"/>
            <w:shd w:val="clear" w:color="auto" w:fill="auto"/>
            <w:noWrap/>
            <w:vAlign w:val="center"/>
            <w:hideMark/>
          </w:tcPr>
          <w:p w:rsidR="009A75F7" w:rsidRPr="00686955" w:rsidRDefault="009A75F7" w:rsidP="009C3978">
            <w:pPr>
              <w:jc w:val="center"/>
              <w:rPr>
                <w:color w:val="000000"/>
              </w:rPr>
            </w:pPr>
            <w:r w:rsidRPr="00686955">
              <w:rPr>
                <w:color w:val="000000"/>
              </w:rPr>
              <w:t>0.214</w:t>
            </w:r>
          </w:p>
        </w:tc>
        <w:tc>
          <w:tcPr>
            <w:tcW w:w="1502" w:type="dxa"/>
            <w:shd w:val="clear" w:color="auto" w:fill="auto"/>
            <w:noWrap/>
            <w:vAlign w:val="center"/>
            <w:hideMark/>
          </w:tcPr>
          <w:p w:rsidR="009A75F7" w:rsidRPr="00686955" w:rsidRDefault="009A75F7" w:rsidP="009C3978">
            <w:pPr>
              <w:jc w:val="center"/>
              <w:rPr>
                <w:color w:val="000000"/>
              </w:rPr>
            </w:pPr>
            <w:r w:rsidRPr="00686955">
              <w:rPr>
                <w:color w:val="000000"/>
              </w:rPr>
              <w:t>0.428</w:t>
            </w:r>
          </w:p>
        </w:tc>
        <w:tc>
          <w:tcPr>
            <w:tcW w:w="1502" w:type="dxa"/>
            <w:shd w:val="clear" w:color="auto" w:fill="auto"/>
            <w:noWrap/>
            <w:vAlign w:val="center"/>
            <w:hideMark/>
          </w:tcPr>
          <w:p w:rsidR="009A75F7" w:rsidRPr="00686955" w:rsidRDefault="009A75F7" w:rsidP="009C3978">
            <w:pPr>
              <w:jc w:val="center"/>
              <w:rPr>
                <w:color w:val="000000"/>
              </w:rPr>
            </w:pPr>
            <w:r w:rsidRPr="00686955">
              <w:rPr>
                <w:color w:val="000000"/>
              </w:rPr>
              <w:t>0.307</w:t>
            </w:r>
          </w:p>
        </w:tc>
        <w:tc>
          <w:tcPr>
            <w:tcW w:w="1502" w:type="dxa"/>
            <w:shd w:val="clear" w:color="auto" w:fill="auto"/>
            <w:noWrap/>
            <w:vAlign w:val="center"/>
            <w:hideMark/>
          </w:tcPr>
          <w:p w:rsidR="009A75F7" w:rsidRPr="00686955" w:rsidRDefault="009A75F7" w:rsidP="009C3978">
            <w:pPr>
              <w:jc w:val="center"/>
              <w:rPr>
                <w:color w:val="000000"/>
              </w:rPr>
            </w:pPr>
            <w:r w:rsidRPr="00686955">
              <w:rPr>
                <w:color w:val="000000"/>
              </w:rPr>
              <w:t>0.420</w:t>
            </w:r>
          </w:p>
        </w:tc>
        <w:tc>
          <w:tcPr>
            <w:tcW w:w="1502" w:type="dxa"/>
            <w:shd w:val="clear" w:color="auto" w:fill="auto"/>
            <w:noWrap/>
            <w:vAlign w:val="center"/>
            <w:hideMark/>
          </w:tcPr>
          <w:p w:rsidR="009A75F7" w:rsidRPr="00686955" w:rsidRDefault="009A75F7" w:rsidP="009C3978">
            <w:pPr>
              <w:jc w:val="center"/>
              <w:rPr>
                <w:color w:val="000000"/>
              </w:rPr>
            </w:pPr>
            <w:r w:rsidRPr="00686955">
              <w:rPr>
                <w:color w:val="000000"/>
              </w:rPr>
              <w:t>0.474</w:t>
            </w:r>
          </w:p>
        </w:tc>
      </w:tr>
      <w:tr w:rsidR="009A75F7" w:rsidRPr="00686955" w:rsidTr="009C3978">
        <w:trPr>
          <w:trHeight w:val="401"/>
        </w:trPr>
        <w:tc>
          <w:tcPr>
            <w:tcW w:w="1844" w:type="dxa"/>
            <w:shd w:val="clear" w:color="auto" w:fill="auto"/>
            <w:noWrap/>
            <w:vAlign w:val="center"/>
            <w:hideMark/>
          </w:tcPr>
          <w:p w:rsidR="009A75F7" w:rsidRPr="00686955" w:rsidRDefault="009A75F7" w:rsidP="009C3978">
            <w:pPr>
              <w:jc w:val="center"/>
              <w:rPr>
                <w:color w:val="000000"/>
              </w:rPr>
            </w:pPr>
            <w:r w:rsidRPr="00686955">
              <w:rPr>
                <w:color w:val="000000"/>
              </w:rPr>
              <w:t>3</w:t>
            </w:r>
          </w:p>
        </w:tc>
        <w:tc>
          <w:tcPr>
            <w:tcW w:w="1550" w:type="dxa"/>
            <w:shd w:val="clear" w:color="auto" w:fill="auto"/>
            <w:noWrap/>
            <w:vAlign w:val="center"/>
            <w:hideMark/>
          </w:tcPr>
          <w:p w:rsidR="009A75F7" w:rsidRPr="00686955" w:rsidRDefault="009A75F7" w:rsidP="009C3978">
            <w:pPr>
              <w:jc w:val="center"/>
              <w:rPr>
                <w:color w:val="000000"/>
              </w:rPr>
            </w:pPr>
            <w:r w:rsidRPr="00686955">
              <w:rPr>
                <w:color w:val="000000"/>
              </w:rPr>
              <w:t>0.175</w:t>
            </w:r>
          </w:p>
        </w:tc>
        <w:tc>
          <w:tcPr>
            <w:tcW w:w="1502" w:type="dxa"/>
            <w:shd w:val="clear" w:color="auto" w:fill="auto"/>
            <w:noWrap/>
            <w:vAlign w:val="center"/>
            <w:hideMark/>
          </w:tcPr>
          <w:p w:rsidR="009A75F7" w:rsidRPr="00686955" w:rsidRDefault="009A75F7" w:rsidP="009C3978">
            <w:pPr>
              <w:jc w:val="center"/>
              <w:rPr>
                <w:color w:val="000000"/>
              </w:rPr>
            </w:pPr>
            <w:r w:rsidRPr="00686955">
              <w:rPr>
                <w:color w:val="000000"/>
              </w:rPr>
              <w:t>0.231</w:t>
            </w:r>
          </w:p>
        </w:tc>
        <w:tc>
          <w:tcPr>
            <w:tcW w:w="1502" w:type="dxa"/>
            <w:shd w:val="clear" w:color="auto" w:fill="auto"/>
            <w:noWrap/>
            <w:vAlign w:val="center"/>
            <w:hideMark/>
          </w:tcPr>
          <w:p w:rsidR="009A75F7" w:rsidRPr="00686955" w:rsidRDefault="009A75F7" w:rsidP="009C3978">
            <w:pPr>
              <w:jc w:val="center"/>
              <w:rPr>
                <w:color w:val="000000"/>
              </w:rPr>
            </w:pPr>
            <w:r w:rsidRPr="00686955">
              <w:rPr>
                <w:color w:val="000000"/>
              </w:rPr>
              <w:t>0.192</w:t>
            </w:r>
          </w:p>
        </w:tc>
        <w:tc>
          <w:tcPr>
            <w:tcW w:w="1502" w:type="dxa"/>
            <w:shd w:val="clear" w:color="auto" w:fill="auto"/>
            <w:noWrap/>
            <w:vAlign w:val="center"/>
            <w:hideMark/>
          </w:tcPr>
          <w:p w:rsidR="009A75F7" w:rsidRPr="00686955" w:rsidRDefault="009A75F7" w:rsidP="009C3978">
            <w:pPr>
              <w:jc w:val="center"/>
              <w:rPr>
                <w:color w:val="000000"/>
              </w:rPr>
            </w:pPr>
            <w:r w:rsidRPr="00686955">
              <w:rPr>
                <w:color w:val="000000"/>
              </w:rPr>
              <w:t>0.209</w:t>
            </w:r>
          </w:p>
        </w:tc>
        <w:tc>
          <w:tcPr>
            <w:tcW w:w="1502" w:type="dxa"/>
            <w:shd w:val="clear" w:color="auto" w:fill="auto"/>
            <w:noWrap/>
            <w:vAlign w:val="center"/>
            <w:hideMark/>
          </w:tcPr>
          <w:p w:rsidR="009A75F7" w:rsidRPr="00686955" w:rsidRDefault="009A75F7" w:rsidP="009C3978">
            <w:pPr>
              <w:jc w:val="center"/>
              <w:rPr>
                <w:color w:val="000000"/>
              </w:rPr>
            </w:pPr>
            <w:r w:rsidRPr="00686955">
              <w:rPr>
                <w:color w:val="000000"/>
              </w:rPr>
              <w:t>0.276</w:t>
            </w:r>
          </w:p>
        </w:tc>
      </w:tr>
      <w:tr w:rsidR="009A75F7" w:rsidRPr="00686955" w:rsidTr="009C3978">
        <w:trPr>
          <w:trHeight w:val="401"/>
        </w:trPr>
        <w:tc>
          <w:tcPr>
            <w:tcW w:w="1844" w:type="dxa"/>
            <w:shd w:val="clear" w:color="auto" w:fill="auto"/>
            <w:noWrap/>
            <w:vAlign w:val="center"/>
            <w:hideMark/>
          </w:tcPr>
          <w:p w:rsidR="009A75F7" w:rsidRPr="00686955" w:rsidRDefault="009A75F7" w:rsidP="009C3978">
            <w:pPr>
              <w:jc w:val="center"/>
              <w:rPr>
                <w:color w:val="000000"/>
              </w:rPr>
            </w:pPr>
            <w:r w:rsidRPr="00686955">
              <w:rPr>
                <w:color w:val="000000"/>
              </w:rPr>
              <w:t>4</w:t>
            </w:r>
          </w:p>
        </w:tc>
        <w:tc>
          <w:tcPr>
            <w:tcW w:w="1550" w:type="dxa"/>
            <w:shd w:val="clear" w:color="auto" w:fill="auto"/>
            <w:noWrap/>
            <w:vAlign w:val="center"/>
            <w:hideMark/>
          </w:tcPr>
          <w:p w:rsidR="009A75F7" w:rsidRPr="00686955" w:rsidRDefault="009A75F7" w:rsidP="009C3978">
            <w:pPr>
              <w:jc w:val="center"/>
              <w:rPr>
                <w:color w:val="000000"/>
              </w:rPr>
            </w:pPr>
            <w:r w:rsidRPr="00686955">
              <w:rPr>
                <w:color w:val="000000"/>
              </w:rPr>
              <w:t>0.200</w:t>
            </w:r>
          </w:p>
        </w:tc>
        <w:tc>
          <w:tcPr>
            <w:tcW w:w="1502" w:type="dxa"/>
            <w:shd w:val="clear" w:color="auto" w:fill="auto"/>
            <w:noWrap/>
            <w:vAlign w:val="center"/>
            <w:hideMark/>
          </w:tcPr>
          <w:p w:rsidR="009A75F7" w:rsidRPr="00686955" w:rsidRDefault="009A75F7" w:rsidP="009C3978">
            <w:pPr>
              <w:jc w:val="center"/>
              <w:rPr>
                <w:color w:val="000000"/>
              </w:rPr>
            </w:pPr>
            <w:r w:rsidRPr="00686955">
              <w:rPr>
                <w:color w:val="000000"/>
              </w:rPr>
              <w:t>0.017</w:t>
            </w:r>
          </w:p>
        </w:tc>
        <w:tc>
          <w:tcPr>
            <w:tcW w:w="1502" w:type="dxa"/>
            <w:shd w:val="clear" w:color="auto" w:fill="auto"/>
            <w:noWrap/>
            <w:vAlign w:val="center"/>
            <w:hideMark/>
          </w:tcPr>
          <w:p w:rsidR="009A75F7" w:rsidRPr="00686955" w:rsidRDefault="009A75F7" w:rsidP="009C3978">
            <w:pPr>
              <w:jc w:val="center"/>
              <w:rPr>
                <w:color w:val="000000"/>
              </w:rPr>
            </w:pPr>
            <w:r w:rsidRPr="00686955">
              <w:rPr>
                <w:color w:val="000000"/>
              </w:rPr>
              <w:t>0.172</w:t>
            </w:r>
          </w:p>
        </w:tc>
        <w:tc>
          <w:tcPr>
            <w:tcW w:w="1502" w:type="dxa"/>
            <w:shd w:val="clear" w:color="auto" w:fill="auto"/>
            <w:noWrap/>
            <w:vAlign w:val="center"/>
            <w:hideMark/>
          </w:tcPr>
          <w:p w:rsidR="009A75F7" w:rsidRPr="00686955" w:rsidRDefault="009A75F7" w:rsidP="009C3978">
            <w:pPr>
              <w:jc w:val="center"/>
              <w:rPr>
                <w:color w:val="000000"/>
              </w:rPr>
            </w:pPr>
            <w:r w:rsidRPr="00686955">
              <w:rPr>
                <w:color w:val="000000"/>
              </w:rPr>
              <w:t>0.153</w:t>
            </w:r>
          </w:p>
        </w:tc>
        <w:tc>
          <w:tcPr>
            <w:tcW w:w="1502" w:type="dxa"/>
            <w:shd w:val="clear" w:color="auto" w:fill="auto"/>
            <w:noWrap/>
            <w:vAlign w:val="center"/>
            <w:hideMark/>
          </w:tcPr>
          <w:p w:rsidR="009A75F7" w:rsidRPr="00686955" w:rsidRDefault="009A75F7" w:rsidP="009C3978">
            <w:pPr>
              <w:jc w:val="center"/>
              <w:rPr>
                <w:color w:val="000000"/>
              </w:rPr>
            </w:pPr>
            <w:r w:rsidRPr="00686955">
              <w:rPr>
                <w:color w:val="000000"/>
              </w:rPr>
              <w:t>0.099</w:t>
            </w:r>
          </w:p>
        </w:tc>
      </w:tr>
      <w:tr w:rsidR="009A75F7" w:rsidRPr="00686955" w:rsidTr="009C3978">
        <w:trPr>
          <w:trHeight w:val="401"/>
        </w:trPr>
        <w:tc>
          <w:tcPr>
            <w:tcW w:w="1844" w:type="dxa"/>
            <w:shd w:val="clear" w:color="auto" w:fill="auto"/>
            <w:noWrap/>
            <w:vAlign w:val="center"/>
            <w:hideMark/>
          </w:tcPr>
          <w:p w:rsidR="009A75F7" w:rsidRPr="00686955" w:rsidRDefault="009A75F7" w:rsidP="009C3978">
            <w:pPr>
              <w:jc w:val="center"/>
              <w:rPr>
                <w:color w:val="000000"/>
              </w:rPr>
            </w:pPr>
            <w:r w:rsidRPr="00686955">
              <w:rPr>
                <w:color w:val="000000"/>
              </w:rPr>
              <w:t>5</w:t>
            </w:r>
          </w:p>
        </w:tc>
        <w:tc>
          <w:tcPr>
            <w:tcW w:w="1550" w:type="dxa"/>
            <w:shd w:val="clear" w:color="auto" w:fill="auto"/>
            <w:noWrap/>
            <w:vAlign w:val="center"/>
            <w:hideMark/>
          </w:tcPr>
          <w:p w:rsidR="009A75F7" w:rsidRPr="00686955" w:rsidRDefault="009A75F7" w:rsidP="009C3978">
            <w:pPr>
              <w:jc w:val="center"/>
              <w:rPr>
                <w:color w:val="000000"/>
              </w:rPr>
            </w:pPr>
            <w:r w:rsidRPr="00686955">
              <w:rPr>
                <w:color w:val="000000"/>
              </w:rPr>
              <w:t>0.061</w:t>
            </w:r>
          </w:p>
        </w:tc>
        <w:tc>
          <w:tcPr>
            <w:tcW w:w="1502" w:type="dxa"/>
            <w:shd w:val="clear" w:color="auto" w:fill="auto"/>
            <w:noWrap/>
            <w:vAlign w:val="center"/>
            <w:hideMark/>
          </w:tcPr>
          <w:p w:rsidR="009A75F7" w:rsidRPr="00686955" w:rsidRDefault="009A75F7" w:rsidP="009C3978">
            <w:pPr>
              <w:jc w:val="center"/>
              <w:rPr>
                <w:color w:val="000000"/>
              </w:rPr>
            </w:pPr>
            <w:r w:rsidRPr="00686955">
              <w:rPr>
                <w:color w:val="000000"/>
              </w:rPr>
              <w:t>-</w:t>
            </w:r>
          </w:p>
        </w:tc>
        <w:tc>
          <w:tcPr>
            <w:tcW w:w="1502" w:type="dxa"/>
            <w:shd w:val="clear" w:color="auto" w:fill="auto"/>
            <w:noWrap/>
            <w:vAlign w:val="center"/>
            <w:hideMark/>
          </w:tcPr>
          <w:p w:rsidR="009A75F7" w:rsidRPr="00686955" w:rsidRDefault="009A75F7" w:rsidP="009C3978">
            <w:pPr>
              <w:jc w:val="center"/>
              <w:rPr>
                <w:color w:val="000000"/>
              </w:rPr>
            </w:pPr>
            <w:r w:rsidRPr="00686955">
              <w:rPr>
                <w:color w:val="000000"/>
              </w:rPr>
              <w:t>0.075</w:t>
            </w:r>
          </w:p>
        </w:tc>
        <w:tc>
          <w:tcPr>
            <w:tcW w:w="1502" w:type="dxa"/>
            <w:shd w:val="clear" w:color="auto" w:fill="auto"/>
            <w:noWrap/>
            <w:vAlign w:val="center"/>
            <w:hideMark/>
          </w:tcPr>
          <w:p w:rsidR="009A75F7" w:rsidRPr="00686955" w:rsidRDefault="009A75F7" w:rsidP="009C3978">
            <w:pPr>
              <w:jc w:val="center"/>
              <w:rPr>
                <w:color w:val="000000"/>
              </w:rPr>
            </w:pPr>
            <w:r w:rsidRPr="00686955">
              <w:rPr>
                <w:color w:val="000000"/>
              </w:rPr>
              <w:t>-</w:t>
            </w:r>
          </w:p>
        </w:tc>
        <w:tc>
          <w:tcPr>
            <w:tcW w:w="1502" w:type="dxa"/>
            <w:shd w:val="clear" w:color="auto" w:fill="auto"/>
            <w:noWrap/>
            <w:vAlign w:val="center"/>
            <w:hideMark/>
          </w:tcPr>
          <w:p w:rsidR="009A75F7" w:rsidRPr="00686955" w:rsidRDefault="009A75F7" w:rsidP="009C3978">
            <w:pPr>
              <w:jc w:val="center"/>
              <w:rPr>
                <w:color w:val="000000"/>
              </w:rPr>
            </w:pPr>
            <w:r w:rsidRPr="00686955">
              <w:rPr>
                <w:color w:val="000000"/>
              </w:rPr>
              <w:t>-</w:t>
            </w:r>
          </w:p>
        </w:tc>
      </w:tr>
      <w:tr w:rsidR="009A75F7" w:rsidRPr="00686955" w:rsidTr="009C3978">
        <w:trPr>
          <w:trHeight w:val="401"/>
        </w:trPr>
        <w:tc>
          <w:tcPr>
            <w:tcW w:w="1844" w:type="dxa"/>
            <w:shd w:val="clear" w:color="auto" w:fill="auto"/>
            <w:noWrap/>
            <w:vAlign w:val="center"/>
            <w:hideMark/>
          </w:tcPr>
          <w:p w:rsidR="009A75F7" w:rsidRPr="00686955" w:rsidRDefault="009A75F7" w:rsidP="009C3978">
            <w:pPr>
              <w:jc w:val="center"/>
              <w:rPr>
                <w:color w:val="000000"/>
              </w:rPr>
            </w:pPr>
            <w:r w:rsidRPr="00686955">
              <w:rPr>
                <w:color w:val="000000"/>
              </w:rPr>
              <w:t>6</w:t>
            </w:r>
          </w:p>
        </w:tc>
        <w:tc>
          <w:tcPr>
            <w:tcW w:w="1550" w:type="dxa"/>
            <w:shd w:val="clear" w:color="auto" w:fill="auto"/>
            <w:noWrap/>
            <w:vAlign w:val="center"/>
            <w:hideMark/>
          </w:tcPr>
          <w:p w:rsidR="009A75F7" w:rsidRPr="00686955" w:rsidRDefault="009A75F7" w:rsidP="009C3978">
            <w:pPr>
              <w:jc w:val="center"/>
              <w:rPr>
                <w:color w:val="000000"/>
              </w:rPr>
            </w:pPr>
            <w:r w:rsidRPr="00686955">
              <w:rPr>
                <w:color w:val="000000"/>
              </w:rPr>
              <w:t>0.009</w:t>
            </w:r>
          </w:p>
        </w:tc>
        <w:tc>
          <w:tcPr>
            <w:tcW w:w="1502" w:type="dxa"/>
            <w:shd w:val="clear" w:color="auto" w:fill="auto"/>
            <w:noWrap/>
            <w:vAlign w:val="center"/>
            <w:hideMark/>
          </w:tcPr>
          <w:p w:rsidR="009A75F7" w:rsidRPr="00686955" w:rsidRDefault="009A75F7" w:rsidP="009C3978">
            <w:pPr>
              <w:jc w:val="center"/>
              <w:rPr>
                <w:color w:val="000000"/>
              </w:rPr>
            </w:pPr>
            <w:r w:rsidRPr="00686955">
              <w:rPr>
                <w:color w:val="000000"/>
              </w:rPr>
              <w:t>-</w:t>
            </w:r>
          </w:p>
        </w:tc>
        <w:tc>
          <w:tcPr>
            <w:tcW w:w="1502" w:type="dxa"/>
            <w:shd w:val="clear" w:color="auto" w:fill="auto"/>
            <w:noWrap/>
            <w:vAlign w:val="center"/>
            <w:hideMark/>
          </w:tcPr>
          <w:p w:rsidR="009A75F7" w:rsidRPr="00686955" w:rsidRDefault="009A75F7" w:rsidP="009C3978">
            <w:pPr>
              <w:jc w:val="center"/>
              <w:rPr>
                <w:color w:val="000000"/>
              </w:rPr>
            </w:pPr>
            <w:r w:rsidRPr="00686955">
              <w:rPr>
                <w:color w:val="000000"/>
              </w:rPr>
              <w:t>0.020</w:t>
            </w:r>
          </w:p>
        </w:tc>
        <w:tc>
          <w:tcPr>
            <w:tcW w:w="1502" w:type="dxa"/>
            <w:shd w:val="clear" w:color="auto" w:fill="auto"/>
            <w:noWrap/>
            <w:vAlign w:val="center"/>
            <w:hideMark/>
          </w:tcPr>
          <w:p w:rsidR="009A75F7" w:rsidRPr="00686955" w:rsidRDefault="009A75F7" w:rsidP="009C3978">
            <w:pPr>
              <w:jc w:val="center"/>
              <w:rPr>
                <w:color w:val="000000"/>
              </w:rPr>
            </w:pPr>
            <w:r w:rsidRPr="00686955">
              <w:rPr>
                <w:color w:val="000000"/>
              </w:rPr>
              <w:t>-</w:t>
            </w:r>
          </w:p>
        </w:tc>
        <w:tc>
          <w:tcPr>
            <w:tcW w:w="1502" w:type="dxa"/>
            <w:shd w:val="clear" w:color="auto" w:fill="auto"/>
            <w:noWrap/>
            <w:vAlign w:val="center"/>
            <w:hideMark/>
          </w:tcPr>
          <w:p w:rsidR="009A75F7" w:rsidRPr="00686955" w:rsidRDefault="009A75F7" w:rsidP="009C3978">
            <w:pPr>
              <w:jc w:val="center"/>
              <w:rPr>
                <w:color w:val="000000"/>
              </w:rPr>
            </w:pPr>
            <w:r w:rsidRPr="00686955">
              <w:rPr>
                <w:color w:val="000000"/>
              </w:rPr>
              <w:t>-</w:t>
            </w:r>
          </w:p>
        </w:tc>
      </w:tr>
      <w:tr w:rsidR="009A75F7" w:rsidRPr="00686955" w:rsidTr="009C3978">
        <w:trPr>
          <w:trHeight w:val="401"/>
        </w:trPr>
        <w:tc>
          <w:tcPr>
            <w:tcW w:w="1844" w:type="dxa"/>
            <w:shd w:val="clear" w:color="auto" w:fill="auto"/>
            <w:noWrap/>
            <w:vAlign w:val="center"/>
            <w:hideMark/>
          </w:tcPr>
          <w:p w:rsidR="009A75F7" w:rsidRPr="00686955" w:rsidRDefault="009A75F7" w:rsidP="009C3978">
            <w:pPr>
              <w:jc w:val="center"/>
              <w:rPr>
                <w:color w:val="000000"/>
              </w:rPr>
            </w:pPr>
            <w:r w:rsidRPr="00686955">
              <w:rPr>
                <w:color w:val="000000"/>
              </w:rPr>
              <w:t>7</w:t>
            </w:r>
          </w:p>
        </w:tc>
        <w:tc>
          <w:tcPr>
            <w:tcW w:w="1550" w:type="dxa"/>
            <w:shd w:val="clear" w:color="auto" w:fill="auto"/>
            <w:noWrap/>
            <w:vAlign w:val="center"/>
            <w:hideMark/>
          </w:tcPr>
          <w:p w:rsidR="009A75F7" w:rsidRPr="00686955" w:rsidRDefault="009A75F7" w:rsidP="009C3978">
            <w:pPr>
              <w:jc w:val="center"/>
              <w:rPr>
                <w:color w:val="000000"/>
              </w:rPr>
            </w:pPr>
            <w:r w:rsidRPr="00686955">
              <w:rPr>
                <w:color w:val="000000"/>
              </w:rPr>
              <w:t>-</w:t>
            </w:r>
          </w:p>
        </w:tc>
        <w:tc>
          <w:tcPr>
            <w:tcW w:w="1502" w:type="dxa"/>
            <w:shd w:val="clear" w:color="auto" w:fill="auto"/>
            <w:noWrap/>
            <w:vAlign w:val="center"/>
            <w:hideMark/>
          </w:tcPr>
          <w:p w:rsidR="009A75F7" w:rsidRPr="00686955" w:rsidRDefault="009A75F7" w:rsidP="009C3978">
            <w:pPr>
              <w:jc w:val="center"/>
              <w:rPr>
                <w:color w:val="000000"/>
              </w:rPr>
            </w:pPr>
            <w:r w:rsidRPr="00686955">
              <w:rPr>
                <w:color w:val="000000"/>
              </w:rPr>
              <w:t>-</w:t>
            </w:r>
          </w:p>
        </w:tc>
        <w:tc>
          <w:tcPr>
            <w:tcW w:w="1502" w:type="dxa"/>
            <w:shd w:val="clear" w:color="auto" w:fill="auto"/>
            <w:noWrap/>
            <w:vAlign w:val="center"/>
            <w:hideMark/>
          </w:tcPr>
          <w:p w:rsidR="009A75F7" w:rsidRPr="00686955" w:rsidRDefault="009A75F7" w:rsidP="009C3978">
            <w:pPr>
              <w:jc w:val="center"/>
              <w:rPr>
                <w:color w:val="000000"/>
              </w:rPr>
            </w:pPr>
            <w:r w:rsidRPr="00686955">
              <w:rPr>
                <w:color w:val="000000"/>
              </w:rPr>
              <w:t>0.019</w:t>
            </w:r>
          </w:p>
        </w:tc>
        <w:tc>
          <w:tcPr>
            <w:tcW w:w="1502" w:type="dxa"/>
            <w:shd w:val="clear" w:color="auto" w:fill="auto"/>
            <w:noWrap/>
            <w:vAlign w:val="center"/>
            <w:hideMark/>
          </w:tcPr>
          <w:p w:rsidR="009A75F7" w:rsidRPr="00686955" w:rsidRDefault="009A75F7" w:rsidP="009C3978">
            <w:pPr>
              <w:jc w:val="center"/>
              <w:rPr>
                <w:color w:val="000000"/>
              </w:rPr>
            </w:pPr>
            <w:r w:rsidRPr="00686955">
              <w:rPr>
                <w:color w:val="000000"/>
              </w:rPr>
              <w:t>-</w:t>
            </w:r>
          </w:p>
        </w:tc>
        <w:tc>
          <w:tcPr>
            <w:tcW w:w="1502" w:type="dxa"/>
            <w:shd w:val="clear" w:color="auto" w:fill="auto"/>
            <w:noWrap/>
            <w:vAlign w:val="center"/>
            <w:hideMark/>
          </w:tcPr>
          <w:p w:rsidR="009A75F7" w:rsidRPr="00686955" w:rsidRDefault="009A75F7" w:rsidP="009C3978">
            <w:pPr>
              <w:jc w:val="center"/>
              <w:rPr>
                <w:color w:val="000000"/>
              </w:rPr>
            </w:pPr>
            <w:r w:rsidRPr="00686955">
              <w:rPr>
                <w:color w:val="000000"/>
              </w:rPr>
              <w:t>-</w:t>
            </w:r>
          </w:p>
        </w:tc>
      </w:tr>
      <w:tr w:rsidR="009A75F7" w:rsidRPr="00686955" w:rsidTr="009C3978">
        <w:trPr>
          <w:trHeight w:val="401"/>
        </w:trPr>
        <w:tc>
          <w:tcPr>
            <w:tcW w:w="1844" w:type="dxa"/>
            <w:shd w:val="clear" w:color="auto" w:fill="auto"/>
            <w:noWrap/>
            <w:vAlign w:val="center"/>
            <w:hideMark/>
          </w:tcPr>
          <w:p w:rsidR="009A75F7" w:rsidRPr="00686955" w:rsidRDefault="009A75F7" w:rsidP="009C3978">
            <w:pPr>
              <w:jc w:val="center"/>
              <w:rPr>
                <w:color w:val="000000"/>
              </w:rPr>
            </w:pPr>
            <w:r w:rsidRPr="00686955">
              <w:rPr>
                <w:color w:val="000000"/>
              </w:rPr>
              <w:t>8</w:t>
            </w:r>
          </w:p>
        </w:tc>
        <w:tc>
          <w:tcPr>
            <w:tcW w:w="1550" w:type="dxa"/>
            <w:shd w:val="clear" w:color="auto" w:fill="auto"/>
            <w:noWrap/>
            <w:vAlign w:val="center"/>
            <w:hideMark/>
          </w:tcPr>
          <w:p w:rsidR="009A75F7" w:rsidRPr="00686955" w:rsidRDefault="009A75F7" w:rsidP="009C3978">
            <w:pPr>
              <w:jc w:val="center"/>
              <w:rPr>
                <w:color w:val="000000"/>
              </w:rPr>
            </w:pPr>
            <w:r w:rsidRPr="00686955">
              <w:rPr>
                <w:color w:val="000000"/>
              </w:rPr>
              <w:t>-</w:t>
            </w:r>
          </w:p>
        </w:tc>
        <w:tc>
          <w:tcPr>
            <w:tcW w:w="1502" w:type="dxa"/>
            <w:shd w:val="clear" w:color="auto" w:fill="auto"/>
            <w:noWrap/>
            <w:vAlign w:val="center"/>
            <w:hideMark/>
          </w:tcPr>
          <w:p w:rsidR="009A75F7" w:rsidRPr="00686955" w:rsidRDefault="009A75F7" w:rsidP="009C3978">
            <w:pPr>
              <w:jc w:val="center"/>
              <w:rPr>
                <w:color w:val="000000"/>
              </w:rPr>
            </w:pPr>
            <w:r w:rsidRPr="00686955">
              <w:rPr>
                <w:color w:val="000000"/>
              </w:rPr>
              <w:t>-</w:t>
            </w:r>
          </w:p>
        </w:tc>
        <w:tc>
          <w:tcPr>
            <w:tcW w:w="1502" w:type="dxa"/>
            <w:shd w:val="clear" w:color="auto" w:fill="auto"/>
            <w:noWrap/>
            <w:vAlign w:val="center"/>
            <w:hideMark/>
          </w:tcPr>
          <w:p w:rsidR="009A75F7" w:rsidRPr="00686955" w:rsidRDefault="009A75F7" w:rsidP="009C3978">
            <w:pPr>
              <w:jc w:val="center"/>
              <w:rPr>
                <w:color w:val="000000"/>
              </w:rPr>
            </w:pPr>
            <w:r w:rsidRPr="00686955">
              <w:rPr>
                <w:color w:val="000000"/>
              </w:rPr>
              <w:t>0.018</w:t>
            </w:r>
          </w:p>
        </w:tc>
        <w:tc>
          <w:tcPr>
            <w:tcW w:w="1502" w:type="dxa"/>
            <w:shd w:val="clear" w:color="auto" w:fill="auto"/>
            <w:noWrap/>
            <w:vAlign w:val="center"/>
            <w:hideMark/>
          </w:tcPr>
          <w:p w:rsidR="009A75F7" w:rsidRPr="00686955" w:rsidRDefault="009A75F7" w:rsidP="009C3978">
            <w:pPr>
              <w:jc w:val="center"/>
              <w:rPr>
                <w:color w:val="000000"/>
              </w:rPr>
            </w:pPr>
            <w:r w:rsidRPr="00686955">
              <w:rPr>
                <w:color w:val="000000"/>
              </w:rPr>
              <w:t>-</w:t>
            </w:r>
          </w:p>
        </w:tc>
        <w:tc>
          <w:tcPr>
            <w:tcW w:w="1502" w:type="dxa"/>
            <w:shd w:val="clear" w:color="auto" w:fill="auto"/>
            <w:noWrap/>
            <w:vAlign w:val="center"/>
            <w:hideMark/>
          </w:tcPr>
          <w:p w:rsidR="009A75F7" w:rsidRPr="00686955" w:rsidRDefault="009A75F7" w:rsidP="009C3978">
            <w:pPr>
              <w:jc w:val="center"/>
              <w:rPr>
                <w:color w:val="000000"/>
              </w:rPr>
            </w:pPr>
            <w:r w:rsidRPr="00686955">
              <w:rPr>
                <w:color w:val="000000"/>
              </w:rPr>
              <w:t>-</w:t>
            </w:r>
          </w:p>
        </w:tc>
      </w:tr>
      <w:tr w:rsidR="009A75F7" w:rsidRPr="00686955" w:rsidTr="009C3978">
        <w:trPr>
          <w:trHeight w:val="401"/>
        </w:trPr>
        <w:tc>
          <w:tcPr>
            <w:tcW w:w="1844" w:type="dxa"/>
            <w:shd w:val="clear" w:color="auto" w:fill="auto"/>
            <w:noWrap/>
            <w:vAlign w:val="center"/>
            <w:hideMark/>
          </w:tcPr>
          <w:p w:rsidR="009A75F7" w:rsidRPr="00686955" w:rsidRDefault="009A75F7" w:rsidP="009C3978">
            <w:pPr>
              <w:jc w:val="center"/>
              <w:rPr>
                <w:color w:val="000000"/>
              </w:rPr>
            </w:pPr>
            <w:r w:rsidRPr="00686955">
              <w:rPr>
                <w:color w:val="000000"/>
              </w:rPr>
              <w:t>9</w:t>
            </w:r>
          </w:p>
        </w:tc>
        <w:tc>
          <w:tcPr>
            <w:tcW w:w="1550" w:type="dxa"/>
            <w:shd w:val="clear" w:color="auto" w:fill="auto"/>
            <w:noWrap/>
            <w:vAlign w:val="center"/>
            <w:hideMark/>
          </w:tcPr>
          <w:p w:rsidR="009A75F7" w:rsidRPr="00686955" w:rsidRDefault="009A75F7" w:rsidP="009C3978">
            <w:pPr>
              <w:jc w:val="center"/>
              <w:rPr>
                <w:color w:val="000000"/>
              </w:rPr>
            </w:pPr>
            <w:r w:rsidRPr="00686955">
              <w:rPr>
                <w:color w:val="000000"/>
              </w:rPr>
              <w:t>-</w:t>
            </w:r>
          </w:p>
        </w:tc>
        <w:tc>
          <w:tcPr>
            <w:tcW w:w="1502" w:type="dxa"/>
            <w:shd w:val="clear" w:color="auto" w:fill="auto"/>
            <w:noWrap/>
            <w:vAlign w:val="center"/>
            <w:hideMark/>
          </w:tcPr>
          <w:p w:rsidR="009A75F7" w:rsidRPr="00686955" w:rsidRDefault="009A75F7" w:rsidP="009C3978">
            <w:pPr>
              <w:jc w:val="center"/>
              <w:rPr>
                <w:color w:val="000000"/>
              </w:rPr>
            </w:pPr>
            <w:r w:rsidRPr="00686955">
              <w:rPr>
                <w:color w:val="000000"/>
              </w:rPr>
              <w:t>-</w:t>
            </w:r>
          </w:p>
        </w:tc>
        <w:tc>
          <w:tcPr>
            <w:tcW w:w="1502" w:type="dxa"/>
            <w:shd w:val="clear" w:color="auto" w:fill="auto"/>
            <w:noWrap/>
            <w:vAlign w:val="center"/>
            <w:hideMark/>
          </w:tcPr>
          <w:p w:rsidR="009A75F7" w:rsidRPr="00686955" w:rsidRDefault="009A75F7" w:rsidP="009C3978">
            <w:pPr>
              <w:jc w:val="center"/>
              <w:rPr>
                <w:color w:val="000000"/>
              </w:rPr>
            </w:pPr>
            <w:r w:rsidRPr="00686955">
              <w:rPr>
                <w:color w:val="000000"/>
              </w:rPr>
              <w:t>-</w:t>
            </w:r>
          </w:p>
        </w:tc>
        <w:tc>
          <w:tcPr>
            <w:tcW w:w="1502" w:type="dxa"/>
            <w:shd w:val="clear" w:color="auto" w:fill="auto"/>
            <w:noWrap/>
            <w:vAlign w:val="center"/>
            <w:hideMark/>
          </w:tcPr>
          <w:p w:rsidR="009A75F7" w:rsidRPr="00686955" w:rsidRDefault="009A75F7" w:rsidP="009C3978">
            <w:pPr>
              <w:jc w:val="center"/>
              <w:rPr>
                <w:color w:val="000000"/>
              </w:rPr>
            </w:pPr>
            <w:r w:rsidRPr="00686955">
              <w:rPr>
                <w:color w:val="000000"/>
              </w:rPr>
              <w:t>-</w:t>
            </w:r>
          </w:p>
        </w:tc>
        <w:tc>
          <w:tcPr>
            <w:tcW w:w="1502" w:type="dxa"/>
            <w:shd w:val="clear" w:color="auto" w:fill="auto"/>
            <w:noWrap/>
            <w:vAlign w:val="center"/>
            <w:hideMark/>
          </w:tcPr>
          <w:p w:rsidR="009A75F7" w:rsidRPr="00686955" w:rsidRDefault="009A75F7" w:rsidP="009C3978">
            <w:pPr>
              <w:jc w:val="center"/>
              <w:rPr>
                <w:color w:val="000000"/>
              </w:rPr>
            </w:pPr>
            <w:r w:rsidRPr="00686955">
              <w:rPr>
                <w:color w:val="000000"/>
              </w:rPr>
              <w:t>-</w:t>
            </w:r>
          </w:p>
        </w:tc>
      </w:tr>
      <w:tr w:rsidR="009A75F7" w:rsidRPr="00686955" w:rsidTr="009C3978">
        <w:trPr>
          <w:trHeight w:val="401"/>
        </w:trPr>
        <w:tc>
          <w:tcPr>
            <w:tcW w:w="1844" w:type="dxa"/>
            <w:tcBorders>
              <w:bottom w:val="single" w:sz="4" w:space="0" w:color="auto"/>
            </w:tcBorders>
            <w:shd w:val="clear" w:color="auto" w:fill="auto"/>
            <w:noWrap/>
            <w:vAlign w:val="center"/>
            <w:hideMark/>
          </w:tcPr>
          <w:p w:rsidR="009A75F7" w:rsidRPr="00686955" w:rsidRDefault="009A75F7" w:rsidP="009C3978">
            <w:pPr>
              <w:jc w:val="center"/>
              <w:rPr>
                <w:color w:val="000000"/>
              </w:rPr>
            </w:pPr>
            <w:r w:rsidRPr="00686955">
              <w:rPr>
                <w:color w:val="000000"/>
              </w:rPr>
              <w:t>10</w:t>
            </w:r>
          </w:p>
        </w:tc>
        <w:tc>
          <w:tcPr>
            <w:tcW w:w="1550" w:type="dxa"/>
            <w:tcBorders>
              <w:bottom w:val="single" w:sz="4" w:space="0" w:color="auto"/>
            </w:tcBorders>
            <w:shd w:val="clear" w:color="auto" w:fill="auto"/>
            <w:noWrap/>
            <w:vAlign w:val="center"/>
            <w:hideMark/>
          </w:tcPr>
          <w:p w:rsidR="009A75F7" w:rsidRPr="00686955" w:rsidRDefault="009A75F7" w:rsidP="009C3978">
            <w:pPr>
              <w:jc w:val="center"/>
              <w:rPr>
                <w:color w:val="000000"/>
              </w:rPr>
            </w:pPr>
            <w:r w:rsidRPr="00686955">
              <w:rPr>
                <w:color w:val="000000"/>
              </w:rPr>
              <w:t>-</w:t>
            </w:r>
          </w:p>
        </w:tc>
        <w:tc>
          <w:tcPr>
            <w:tcW w:w="1502" w:type="dxa"/>
            <w:tcBorders>
              <w:bottom w:val="single" w:sz="4" w:space="0" w:color="auto"/>
            </w:tcBorders>
            <w:shd w:val="clear" w:color="auto" w:fill="auto"/>
            <w:noWrap/>
            <w:vAlign w:val="center"/>
            <w:hideMark/>
          </w:tcPr>
          <w:p w:rsidR="009A75F7" w:rsidRPr="00686955" w:rsidRDefault="009A75F7" w:rsidP="009C3978">
            <w:pPr>
              <w:jc w:val="center"/>
              <w:rPr>
                <w:color w:val="000000"/>
              </w:rPr>
            </w:pPr>
            <w:r w:rsidRPr="00686955">
              <w:rPr>
                <w:color w:val="000000"/>
              </w:rPr>
              <w:t>-</w:t>
            </w:r>
          </w:p>
        </w:tc>
        <w:tc>
          <w:tcPr>
            <w:tcW w:w="1502" w:type="dxa"/>
            <w:tcBorders>
              <w:bottom w:val="single" w:sz="4" w:space="0" w:color="auto"/>
            </w:tcBorders>
            <w:shd w:val="clear" w:color="auto" w:fill="auto"/>
            <w:noWrap/>
            <w:vAlign w:val="center"/>
            <w:hideMark/>
          </w:tcPr>
          <w:p w:rsidR="009A75F7" w:rsidRPr="00686955" w:rsidRDefault="009A75F7" w:rsidP="009C3978">
            <w:pPr>
              <w:jc w:val="center"/>
              <w:rPr>
                <w:color w:val="000000"/>
              </w:rPr>
            </w:pPr>
            <w:r w:rsidRPr="00686955">
              <w:rPr>
                <w:color w:val="000000"/>
              </w:rPr>
              <w:t>-</w:t>
            </w:r>
          </w:p>
        </w:tc>
        <w:tc>
          <w:tcPr>
            <w:tcW w:w="1502" w:type="dxa"/>
            <w:tcBorders>
              <w:bottom w:val="single" w:sz="4" w:space="0" w:color="auto"/>
            </w:tcBorders>
            <w:shd w:val="clear" w:color="auto" w:fill="auto"/>
            <w:noWrap/>
            <w:vAlign w:val="center"/>
            <w:hideMark/>
          </w:tcPr>
          <w:p w:rsidR="009A75F7" w:rsidRPr="00686955" w:rsidRDefault="009A75F7" w:rsidP="009C3978">
            <w:pPr>
              <w:jc w:val="center"/>
              <w:rPr>
                <w:color w:val="000000"/>
              </w:rPr>
            </w:pPr>
            <w:r w:rsidRPr="00686955">
              <w:rPr>
                <w:color w:val="000000"/>
              </w:rPr>
              <w:t>-</w:t>
            </w:r>
          </w:p>
        </w:tc>
        <w:tc>
          <w:tcPr>
            <w:tcW w:w="1502" w:type="dxa"/>
            <w:tcBorders>
              <w:bottom w:val="single" w:sz="4" w:space="0" w:color="auto"/>
            </w:tcBorders>
            <w:shd w:val="clear" w:color="auto" w:fill="auto"/>
            <w:noWrap/>
            <w:vAlign w:val="center"/>
            <w:hideMark/>
          </w:tcPr>
          <w:p w:rsidR="009A75F7" w:rsidRPr="00686955" w:rsidRDefault="009A75F7" w:rsidP="009C3978">
            <w:pPr>
              <w:jc w:val="center"/>
              <w:rPr>
                <w:color w:val="000000"/>
              </w:rPr>
            </w:pPr>
            <w:r w:rsidRPr="00686955">
              <w:rPr>
                <w:color w:val="000000"/>
              </w:rPr>
              <w:t>-</w:t>
            </w:r>
          </w:p>
        </w:tc>
      </w:tr>
      <w:tr w:rsidR="009A75F7" w:rsidRPr="00686955" w:rsidTr="009C3978">
        <w:trPr>
          <w:trHeight w:val="401"/>
        </w:trPr>
        <w:tc>
          <w:tcPr>
            <w:tcW w:w="1844" w:type="dxa"/>
            <w:tcBorders>
              <w:top w:val="single" w:sz="4" w:space="0" w:color="auto"/>
            </w:tcBorders>
            <w:shd w:val="clear" w:color="auto" w:fill="auto"/>
            <w:noWrap/>
            <w:vAlign w:val="center"/>
            <w:hideMark/>
          </w:tcPr>
          <w:p w:rsidR="009A75F7" w:rsidRPr="00686955" w:rsidRDefault="009A75F7" w:rsidP="009C3978">
            <w:pPr>
              <w:jc w:val="center"/>
              <w:rPr>
                <w:b/>
                <w:color w:val="000000"/>
              </w:rPr>
            </w:pPr>
            <w:r w:rsidRPr="00686955">
              <w:rPr>
                <w:b/>
                <w:color w:val="000000"/>
              </w:rPr>
              <w:t>Relative basal area (sum species =1 )</w:t>
            </w:r>
          </w:p>
        </w:tc>
        <w:tc>
          <w:tcPr>
            <w:tcW w:w="1550" w:type="dxa"/>
            <w:tcBorders>
              <w:top w:val="single" w:sz="4" w:space="0" w:color="auto"/>
            </w:tcBorders>
            <w:shd w:val="clear" w:color="auto" w:fill="auto"/>
            <w:noWrap/>
            <w:vAlign w:val="center"/>
            <w:hideMark/>
          </w:tcPr>
          <w:p w:rsidR="009A75F7" w:rsidRPr="00686955" w:rsidRDefault="009A75F7" w:rsidP="009C3978">
            <w:pPr>
              <w:jc w:val="center"/>
              <w:rPr>
                <w:color w:val="000000"/>
              </w:rPr>
            </w:pPr>
            <w:r w:rsidRPr="00686955">
              <w:rPr>
                <w:color w:val="000000"/>
              </w:rPr>
              <w:t>0.030</w:t>
            </w:r>
          </w:p>
        </w:tc>
        <w:tc>
          <w:tcPr>
            <w:tcW w:w="1502" w:type="dxa"/>
            <w:tcBorders>
              <w:top w:val="single" w:sz="4" w:space="0" w:color="auto"/>
            </w:tcBorders>
            <w:shd w:val="clear" w:color="auto" w:fill="auto"/>
            <w:noWrap/>
            <w:vAlign w:val="center"/>
            <w:hideMark/>
          </w:tcPr>
          <w:p w:rsidR="009A75F7" w:rsidRPr="00686955" w:rsidRDefault="009A75F7" w:rsidP="009C3978">
            <w:pPr>
              <w:jc w:val="center"/>
              <w:rPr>
                <w:color w:val="000000"/>
              </w:rPr>
            </w:pPr>
            <w:r w:rsidRPr="00686955">
              <w:rPr>
                <w:color w:val="000000"/>
              </w:rPr>
              <w:t>0.071</w:t>
            </w:r>
          </w:p>
        </w:tc>
        <w:tc>
          <w:tcPr>
            <w:tcW w:w="1502" w:type="dxa"/>
            <w:tcBorders>
              <w:top w:val="single" w:sz="4" w:space="0" w:color="auto"/>
            </w:tcBorders>
            <w:shd w:val="clear" w:color="auto" w:fill="auto"/>
            <w:noWrap/>
            <w:vAlign w:val="center"/>
            <w:hideMark/>
          </w:tcPr>
          <w:p w:rsidR="009A75F7" w:rsidRPr="00686955" w:rsidRDefault="009A75F7" w:rsidP="009C3978">
            <w:pPr>
              <w:jc w:val="center"/>
              <w:rPr>
                <w:color w:val="000000"/>
              </w:rPr>
            </w:pPr>
            <w:r w:rsidRPr="00686955">
              <w:rPr>
                <w:color w:val="000000"/>
              </w:rPr>
              <w:t>0.611</w:t>
            </w:r>
          </w:p>
        </w:tc>
        <w:tc>
          <w:tcPr>
            <w:tcW w:w="1502" w:type="dxa"/>
            <w:tcBorders>
              <w:top w:val="single" w:sz="4" w:space="0" w:color="auto"/>
            </w:tcBorders>
            <w:shd w:val="clear" w:color="auto" w:fill="auto"/>
            <w:noWrap/>
            <w:vAlign w:val="center"/>
            <w:hideMark/>
          </w:tcPr>
          <w:p w:rsidR="009A75F7" w:rsidRPr="00686955" w:rsidRDefault="009A75F7" w:rsidP="009C3978">
            <w:pPr>
              <w:jc w:val="center"/>
              <w:rPr>
                <w:color w:val="000000"/>
              </w:rPr>
            </w:pPr>
            <w:r w:rsidRPr="00686955">
              <w:rPr>
                <w:color w:val="000000"/>
              </w:rPr>
              <w:t>0.062</w:t>
            </w:r>
          </w:p>
        </w:tc>
        <w:tc>
          <w:tcPr>
            <w:tcW w:w="1502" w:type="dxa"/>
            <w:tcBorders>
              <w:top w:val="single" w:sz="4" w:space="0" w:color="auto"/>
            </w:tcBorders>
            <w:shd w:val="clear" w:color="auto" w:fill="auto"/>
            <w:noWrap/>
            <w:vAlign w:val="center"/>
            <w:hideMark/>
          </w:tcPr>
          <w:p w:rsidR="009A75F7" w:rsidRPr="00686955" w:rsidRDefault="009A75F7" w:rsidP="009C3978">
            <w:pPr>
              <w:jc w:val="center"/>
              <w:rPr>
                <w:color w:val="000000"/>
              </w:rPr>
            </w:pPr>
            <w:r w:rsidRPr="00686955">
              <w:rPr>
                <w:color w:val="000000"/>
              </w:rPr>
              <w:t>0.226</w:t>
            </w:r>
          </w:p>
        </w:tc>
      </w:tr>
    </w:tbl>
    <w:p w:rsidR="009A75F7" w:rsidRPr="00686955" w:rsidRDefault="009A75F7" w:rsidP="009A75F7">
      <w:pPr>
        <w:spacing w:line="360" w:lineRule="auto"/>
      </w:pPr>
      <w:r w:rsidRPr="00686955">
        <w:rPr>
          <w:sz w:val="20"/>
          <w:szCs w:val="20"/>
        </w:rPr>
        <w:t>Layer 1 represents the top of the modelled canopy.</w:t>
      </w:r>
    </w:p>
    <w:p w:rsidR="009A75F7" w:rsidRPr="00686955" w:rsidRDefault="009A75F7" w:rsidP="009A75F7">
      <w:pPr>
        <w:spacing w:line="360" w:lineRule="auto"/>
      </w:pPr>
    </w:p>
    <w:p w:rsidR="009A75F7" w:rsidRPr="00686955" w:rsidRDefault="009A75F7" w:rsidP="009A75F7">
      <w:pPr>
        <w:spacing w:line="360" w:lineRule="auto"/>
        <w:rPr>
          <w:i/>
        </w:rPr>
      </w:pPr>
      <w:r w:rsidRPr="00686955">
        <w:rPr>
          <w:i/>
        </w:rPr>
        <w:t xml:space="preserve">Scaling </w:t>
      </w:r>
      <w:r w:rsidRPr="00686955">
        <w:t>V</w:t>
      </w:r>
      <w:r w:rsidRPr="00686955">
        <w:rPr>
          <w:i/>
          <w:vertAlign w:val="subscript"/>
        </w:rPr>
        <w:t>cmax</w:t>
      </w:r>
      <w:r w:rsidRPr="00686955">
        <w:rPr>
          <w:i/>
        </w:rPr>
        <w:t xml:space="preserve"> and </w:t>
      </w:r>
      <w:r w:rsidRPr="00686955">
        <w:t>J</w:t>
      </w:r>
      <w:r w:rsidRPr="00686955">
        <w:rPr>
          <w:i/>
          <w:vertAlign w:val="subscript"/>
        </w:rPr>
        <w:t>max</w:t>
      </w:r>
    </w:p>
    <w:p w:rsidR="009A75F7" w:rsidRPr="00686955" w:rsidRDefault="009A75F7" w:rsidP="009A75F7">
      <w:pPr>
        <w:spacing w:line="360" w:lineRule="auto"/>
      </w:pPr>
      <w:r w:rsidRPr="00686955">
        <w:t xml:space="preserve">The SPA model has 10 layers of canopy of which 8 of the 10 layers were assigned foliage in order to represent the vertical distribution as observed in the field. Per species the top and bottom layer were assigned the average </w:t>
      </w:r>
      <w:r w:rsidRPr="00686955">
        <w:rPr>
          <w:i/>
        </w:rPr>
        <w:t>V</w:t>
      </w:r>
      <w:r w:rsidRPr="00686955">
        <w:rPr>
          <w:vertAlign w:val="subscript"/>
        </w:rPr>
        <w:t>cmax</w:t>
      </w:r>
      <w:r w:rsidRPr="00686955">
        <w:t xml:space="preserve"> and </w:t>
      </w:r>
      <w:r w:rsidRPr="00686955">
        <w:rPr>
          <w:i/>
        </w:rPr>
        <w:t>J</w:t>
      </w:r>
      <w:r w:rsidRPr="00686955">
        <w:rPr>
          <w:vertAlign w:val="subscript"/>
        </w:rPr>
        <w:t>max</w:t>
      </w:r>
      <w:r w:rsidRPr="00686955">
        <w:t xml:space="preserve"> values that had been measured in the top and bottom canopy, respectively. Depending on the amount of layers in the model that corresponded to the observations per species, the </w:t>
      </w:r>
      <w:r w:rsidRPr="00686955">
        <w:rPr>
          <w:i/>
        </w:rPr>
        <w:t>V</w:t>
      </w:r>
      <w:r w:rsidRPr="00686955">
        <w:rPr>
          <w:vertAlign w:val="subscript"/>
        </w:rPr>
        <w:t>cmax</w:t>
      </w:r>
      <w:r w:rsidRPr="00686955">
        <w:t xml:space="preserve"> and </w:t>
      </w:r>
      <w:r w:rsidRPr="00686955">
        <w:rPr>
          <w:i/>
        </w:rPr>
        <w:t>J</w:t>
      </w:r>
      <w:r w:rsidRPr="00686955">
        <w:rPr>
          <w:vertAlign w:val="subscript"/>
        </w:rPr>
        <w:t>max</w:t>
      </w:r>
      <w:r w:rsidRPr="00686955">
        <w:t xml:space="preserve"> values of the other layers were then linearly interpolated, using the measured mid-canopy values as well. </w:t>
      </w:r>
      <w:r>
        <w:t>In t</w:t>
      </w:r>
      <w:r w:rsidRPr="00686955">
        <w:t xml:space="preserve">his way, we avoided for example that the bottom leaves of </w:t>
      </w:r>
      <w:proofErr w:type="spellStart"/>
      <w:r w:rsidRPr="00686955">
        <w:rPr>
          <w:i/>
        </w:rPr>
        <w:t>Clethra</w:t>
      </w:r>
      <w:proofErr w:type="spellEnd"/>
      <w:r w:rsidRPr="00686955">
        <w:rPr>
          <w:i/>
        </w:rPr>
        <w:t xml:space="preserve"> </w:t>
      </w:r>
      <w:proofErr w:type="spellStart"/>
      <w:r w:rsidRPr="00686955">
        <w:rPr>
          <w:i/>
        </w:rPr>
        <w:t>cuneata</w:t>
      </w:r>
      <w:proofErr w:type="spellEnd"/>
      <w:r w:rsidRPr="00686955">
        <w:t xml:space="preserve">, which are relatively high in the canopy, were assumed to contribute to the same bottom layer as those from </w:t>
      </w:r>
      <w:r w:rsidRPr="00686955">
        <w:rPr>
          <w:i/>
        </w:rPr>
        <w:t>Weinmannia crassifolia</w:t>
      </w:r>
      <w:r w:rsidRPr="00686955">
        <w:t xml:space="preserve">. Average </w:t>
      </w:r>
      <w:r w:rsidRPr="00686955">
        <w:rPr>
          <w:i/>
        </w:rPr>
        <w:t>V</w:t>
      </w:r>
      <w:r w:rsidRPr="00686955">
        <w:rPr>
          <w:vertAlign w:val="subscript"/>
        </w:rPr>
        <w:t>cmax</w:t>
      </w:r>
      <w:r w:rsidRPr="00686955">
        <w:t xml:space="preserve"> and </w:t>
      </w:r>
      <w:r w:rsidRPr="00686955">
        <w:rPr>
          <w:i/>
        </w:rPr>
        <w:t>J</w:t>
      </w:r>
      <w:r w:rsidRPr="00686955">
        <w:rPr>
          <w:vertAlign w:val="subscript"/>
        </w:rPr>
        <w:t>max</w:t>
      </w:r>
      <w:r w:rsidRPr="00686955">
        <w:t xml:space="preserve"> per layer were consequently calculated by weighing the values per species according to the proportional basal area per species and their LAI distribution. Likewise, the estimated amount of total LAI per canopy layer was calculated using the relative LAI per species per layer and the species’ basal area as can be found in Table 1 of the manuscript. </w:t>
      </w:r>
    </w:p>
    <w:p w:rsidR="009A75F7" w:rsidRPr="00686955" w:rsidRDefault="009A75F7" w:rsidP="009A75F7">
      <w:pPr>
        <w:spacing w:line="360" w:lineRule="auto"/>
      </w:pPr>
    </w:p>
    <w:p w:rsidR="009A75F7" w:rsidRPr="009A74B6" w:rsidRDefault="009A75F7" w:rsidP="009A75F7">
      <w:pPr>
        <w:spacing w:line="360" w:lineRule="auto"/>
        <w:rPr>
          <w:b/>
        </w:rPr>
      </w:pPr>
      <w:r w:rsidRPr="00686955">
        <w:rPr>
          <w:b/>
        </w:rPr>
        <w:t>References</w:t>
      </w:r>
    </w:p>
    <w:p w:rsidR="009A75F7" w:rsidRPr="00686955" w:rsidRDefault="009A75F7" w:rsidP="009A75F7">
      <w:pPr>
        <w:spacing w:after="240" w:line="360" w:lineRule="auto"/>
      </w:pPr>
      <w:proofErr w:type="spellStart"/>
      <w:r w:rsidRPr="00686955">
        <w:t>Domingues</w:t>
      </w:r>
      <w:proofErr w:type="spellEnd"/>
      <w:r w:rsidRPr="00686955">
        <w:t xml:space="preserve">, T, Meir, P, </w:t>
      </w:r>
      <w:proofErr w:type="spellStart"/>
      <w:r w:rsidRPr="00686955">
        <w:t>Feldpausch</w:t>
      </w:r>
      <w:proofErr w:type="spellEnd"/>
      <w:r w:rsidRPr="00686955">
        <w:t xml:space="preserve">, </w:t>
      </w:r>
      <w:proofErr w:type="spellStart"/>
      <w:r w:rsidRPr="00686955">
        <w:t>Saiz</w:t>
      </w:r>
      <w:proofErr w:type="spellEnd"/>
      <w:r w:rsidRPr="00686955">
        <w:t xml:space="preserve">, TG, </w:t>
      </w:r>
      <w:proofErr w:type="spellStart"/>
      <w:r w:rsidRPr="00686955">
        <w:t>Veenendaal</w:t>
      </w:r>
      <w:proofErr w:type="spellEnd"/>
      <w:r w:rsidRPr="00686955">
        <w:t xml:space="preserve">, EM </w:t>
      </w:r>
      <w:proofErr w:type="spellStart"/>
      <w:r w:rsidRPr="00686955">
        <w:t>Schrodt</w:t>
      </w:r>
      <w:proofErr w:type="spellEnd"/>
      <w:r w:rsidRPr="00686955">
        <w:t xml:space="preserve">, FM, Bird, M, </w:t>
      </w:r>
      <w:proofErr w:type="spellStart"/>
      <w:r w:rsidRPr="00686955">
        <w:t>Djagbletey</w:t>
      </w:r>
      <w:proofErr w:type="spellEnd"/>
      <w:r w:rsidRPr="00686955">
        <w:t xml:space="preserve">, G, </w:t>
      </w:r>
      <w:proofErr w:type="spellStart"/>
      <w:r w:rsidRPr="00686955">
        <w:t>Hien</w:t>
      </w:r>
      <w:proofErr w:type="spellEnd"/>
      <w:r w:rsidRPr="00686955">
        <w:t xml:space="preserve">, F, </w:t>
      </w:r>
      <w:proofErr w:type="spellStart"/>
      <w:r w:rsidRPr="00686955">
        <w:t>Compaore</w:t>
      </w:r>
      <w:proofErr w:type="spellEnd"/>
      <w:r w:rsidRPr="00686955">
        <w:t xml:space="preserve">,  H, </w:t>
      </w:r>
      <w:proofErr w:type="spellStart"/>
      <w:r w:rsidRPr="00686955">
        <w:t>Diallo</w:t>
      </w:r>
      <w:proofErr w:type="spellEnd"/>
      <w:r w:rsidRPr="00686955">
        <w:t xml:space="preserve">, A, Grace, J, Lloyd, J, 2010. Co-limitation of photosynthetic capacity by nitrogen and phosphorus in West Africa woodlands. Plant Cell and Environment </w:t>
      </w:r>
      <w:r w:rsidRPr="00686955">
        <w:rPr>
          <w:bCs/>
        </w:rPr>
        <w:t xml:space="preserve">33, </w:t>
      </w:r>
      <w:r w:rsidRPr="00686955">
        <w:t>959–980.</w:t>
      </w:r>
    </w:p>
    <w:p w:rsidR="009A75F7" w:rsidRPr="00686955" w:rsidRDefault="009A75F7" w:rsidP="009A75F7">
      <w:pPr>
        <w:spacing w:after="240" w:line="360" w:lineRule="auto"/>
      </w:pPr>
      <w:r w:rsidRPr="00686955">
        <w:t xml:space="preserve">Farquhar, GD, Von </w:t>
      </w:r>
      <w:proofErr w:type="spellStart"/>
      <w:r w:rsidRPr="00686955">
        <w:t>Caemmerer</w:t>
      </w:r>
      <w:proofErr w:type="spellEnd"/>
      <w:r w:rsidRPr="00686955">
        <w:t>, S, Berry, JA, 1980. A Biochemical-Model of Photosynthetic CO</w:t>
      </w:r>
      <w:r w:rsidRPr="00686955">
        <w:softHyphen/>
      </w:r>
      <w:r w:rsidRPr="00686955">
        <w:rPr>
          <w:vertAlign w:val="subscript"/>
        </w:rPr>
        <w:t>2</w:t>
      </w:r>
      <w:r w:rsidRPr="00686955">
        <w:t xml:space="preserve"> Assimilation in Leaves of C-3 Species. Planta 149:78-90.</w:t>
      </w:r>
    </w:p>
    <w:p w:rsidR="009A75F7" w:rsidRPr="00686955" w:rsidRDefault="009A75F7" w:rsidP="009A75F7">
      <w:pPr>
        <w:spacing w:after="240" w:line="360" w:lineRule="auto"/>
      </w:pPr>
      <w:r w:rsidRPr="00686955">
        <w:t>Harley PC, Loreto F, Marco GD, Sharkey TD. 1992. Theoretical considerations when estimating the mesophyll conductance to CO2 flux by analysis of the response of photosynthesis to CO</w:t>
      </w:r>
      <w:r w:rsidRPr="00686955">
        <w:rPr>
          <w:vertAlign w:val="subscript"/>
        </w:rPr>
        <w:t>2</w:t>
      </w:r>
      <w:r w:rsidRPr="00686955">
        <w:t xml:space="preserve"> Plant Physiology 98: 1429 -1436.</w:t>
      </w:r>
    </w:p>
    <w:p w:rsidR="009A75F7" w:rsidRPr="00686955" w:rsidRDefault="009A75F7" w:rsidP="009A75F7">
      <w:pPr>
        <w:spacing w:after="240" w:line="360" w:lineRule="auto"/>
      </w:pPr>
      <w:r w:rsidRPr="00686955">
        <w:t xml:space="preserve">Santiago, LS, </w:t>
      </w:r>
      <w:proofErr w:type="spellStart"/>
      <w:r w:rsidRPr="00686955">
        <w:t>Mulkey</w:t>
      </w:r>
      <w:proofErr w:type="spellEnd"/>
      <w:r w:rsidRPr="00686955">
        <w:t xml:space="preserve">, SS, 2003. A test of gas exchange measurements on excised canopy branches of ten tropical tree species. </w:t>
      </w:r>
      <w:proofErr w:type="spellStart"/>
      <w:r w:rsidRPr="00686955">
        <w:t>Photosynthetica</w:t>
      </w:r>
      <w:proofErr w:type="spellEnd"/>
      <w:r w:rsidRPr="00686955">
        <w:t xml:space="preserve"> 41:343-347.</w:t>
      </w:r>
    </w:p>
    <w:p w:rsidR="009A75F7" w:rsidRPr="00686955" w:rsidRDefault="009A75F7" w:rsidP="009A75F7">
      <w:pPr>
        <w:spacing w:after="240" w:line="360" w:lineRule="auto"/>
      </w:pPr>
      <w:r w:rsidRPr="00686955">
        <w:lastRenderedPageBreak/>
        <w:t xml:space="preserve">von </w:t>
      </w:r>
      <w:proofErr w:type="spellStart"/>
      <w:r w:rsidRPr="00686955">
        <w:t>Caemmerer</w:t>
      </w:r>
      <w:proofErr w:type="spellEnd"/>
      <w:r w:rsidRPr="00686955">
        <w:t xml:space="preserve">, S, Quick, WP, 2000. </w:t>
      </w:r>
      <w:proofErr w:type="spellStart"/>
      <w:r w:rsidRPr="00686955">
        <w:t>Rubisco</w:t>
      </w:r>
      <w:proofErr w:type="spellEnd"/>
      <w:r w:rsidRPr="00686955">
        <w:t xml:space="preserve">: Physiology in vivo. Pages 85-113 </w:t>
      </w:r>
      <w:r w:rsidRPr="00686955">
        <w:rPr>
          <w:i/>
        </w:rPr>
        <w:t>in</w:t>
      </w:r>
      <w:r w:rsidRPr="00686955">
        <w:t xml:space="preserve"> Photosynthesis: Physiology and metabolism. </w:t>
      </w:r>
      <w:proofErr w:type="spellStart"/>
      <w:r w:rsidRPr="00686955">
        <w:t>Kluwer</w:t>
      </w:r>
      <w:proofErr w:type="spellEnd"/>
      <w:r w:rsidRPr="00686955">
        <w:t xml:space="preserve"> Academic Publishers.</w:t>
      </w:r>
    </w:p>
    <w:p w:rsidR="009A75F7" w:rsidRPr="00686955" w:rsidRDefault="009A75F7" w:rsidP="009A75F7">
      <w:pPr>
        <w:spacing w:line="360" w:lineRule="auto"/>
      </w:pPr>
    </w:p>
    <w:p w:rsidR="009A75F7" w:rsidRDefault="009A75F7" w:rsidP="009A75F7"/>
    <w:p w:rsidR="009A75F7" w:rsidRDefault="009A75F7" w:rsidP="009A75F7"/>
    <w:p w:rsidR="009A75F7" w:rsidRDefault="009A75F7" w:rsidP="009A75F7"/>
    <w:p w:rsidR="009A75F7" w:rsidRPr="00686955" w:rsidRDefault="009A75F7" w:rsidP="009A75F7"/>
    <w:p w:rsidR="009A74B6" w:rsidRDefault="009A74B6">
      <w:pPr>
        <w:rPr>
          <w:b/>
        </w:rPr>
      </w:pPr>
      <w:r>
        <w:rPr>
          <w:b/>
        </w:rPr>
        <w:br w:type="page"/>
      </w:r>
    </w:p>
    <w:p w:rsidR="009A75F7" w:rsidRPr="009A74B6" w:rsidRDefault="009A75F7" w:rsidP="009A75F7">
      <w:pPr>
        <w:rPr>
          <w:b/>
        </w:rPr>
      </w:pPr>
      <w:r w:rsidRPr="00686955">
        <w:rPr>
          <w:b/>
        </w:rPr>
        <w:lastRenderedPageBreak/>
        <w:t>Supplementary information II</w:t>
      </w:r>
    </w:p>
    <w:p w:rsidR="009A75F7" w:rsidRPr="00686955" w:rsidRDefault="009A75F7" w:rsidP="009A75F7">
      <w:pPr>
        <w:spacing w:line="480" w:lineRule="auto"/>
        <w:rPr>
          <w:sz w:val="20"/>
        </w:rPr>
      </w:pPr>
      <w:r w:rsidRPr="00686955">
        <w:rPr>
          <w:sz w:val="20"/>
        </w:rPr>
        <w:t xml:space="preserve">Table B. Structural </w:t>
      </w:r>
      <w:r>
        <w:rPr>
          <w:sz w:val="20"/>
        </w:rPr>
        <w:t>P</w:t>
      </w:r>
      <w:r w:rsidRPr="00686955">
        <w:rPr>
          <w:sz w:val="20"/>
        </w:rPr>
        <w:t xml:space="preserve">arameters and </w:t>
      </w:r>
      <w:r>
        <w:rPr>
          <w:sz w:val="20"/>
        </w:rPr>
        <w:t>S</w:t>
      </w:r>
      <w:r w:rsidRPr="00686955">
        <w:rPr>
          <w:sz w:val="20"/>
        </w:rPr>
        <w:t xml:space="preserve">tarting </w:t>
      </w:r>
      <w:r>
        <w:rPr>
          <w:sz w:val="20"/>
        </w:rPr>
        <w:t>V</w:t>
      </w:r>
      <w:r w:rsidRPr="00686955">
        <w:rPr>
          <w:sz w:val="20"/>
        </w:rPr>
        <w:t xml:space="preserve">alues of </w:t>
      </w:r>
      <w:r>
        <w:rPr>
          <w:sz w:val="20"/>
        </w:rPr>
        <w:t>S</w:t>
      </w:r>
      <w:r w:rsidRPr="00686955">
        <w:rPr>
          <w:sz w:val="20"/>
        </w:rPr>
        <w:t xml:space="preserve">tate </w:t>
      </w:r>
      <w:r>
        <w:rPr>
          <w:sz w:val="20"/>
        </w:rPr>
        <w:t>P</w:t>
      </w:r>
      <w:r w:rsidRPr="00686955">
        <w:rPr>
          <w:sz w:val="20"/>
        </w:rPr>
        <w:t xml:space="preserve">arameters </w:t>
      </w:r>
      <w:r>
        <w:rPr>
          <w:sz w:val="20"/>
        </w:rPr>
        <w:t>U</w:t>
      </w:r>
      <w:r w:rsidRPr="00686955">
        <w:rPr>
          <w:sz w:val="20"/>
        </w:rPr>
        <w:t xml:space="preserve">sed in the </w:t>
      </w:r>
      <w:r>
        <w:rPr>
          <w:sz w:val="20"/>
        </w:rPr>
        <w:t>S</w:t>
      </w:r>
      <w:r w:rsidRPr="00686955">
        <w:rPr>
          <w:sz w:val="20"/>
        </w:rPr>
        <w:t xml:space="preserve">tandard SPA </w:t>
      </w:r>
      <w:r>
        <w:rPr>
          <w:sz w:val="20"/>
        </w:rPr>
        <w:t>M</w:t>
      </w:r>
      <w:r w:rsidRPr="00686955">
        <w:rPr>
          <w:sz w:val="20"/>
        </w:rPr>
        <w:t xml:space="preserve">odel </w:t>
      </w:r>
      <w:r>
        <w:rPr>
          <w:sz w:val="20"/>
        </w:rPr>
        <w:t>S</w:t>
      </w:r>
      <w:r w:rsidRPr="00686955">
        <w:rPr>
          <w:sz w:val="20"/>
        </w:rPr>
        <w:t xml:space="preserve">imulations, </w:t>
      </w:r>
      <w:r>
        <w:rPr>
          <w:sz w:val="20"/>
        </w:rPr>
        <w:t>T</w:t>
      </w:r>
      <w:r w:rsidRPr="00686955">
        <w:rPr>
          <w:sz w:val="20"/>
        </w:rPr>
        <w:t xml:space="preserve">ogether with </w:t>
      </w:r>
      <w:r>
        <w:rPr>
          <w:sz w:val="20"/>
        </w:rPr>
        <w:t>T</w:t>
      </w:r>
      <w:r w:rsidRPr="00686955">
        <w:rPr>
          <w:sz w:val="20"/>
        </w:rPr>
        <w:t xml:space="preserve">heir </w:t>
      </w:r>
      <w:r>
        <w:rPr>
          <w:sz w:val="20"/>
        </w:rPr>
        <w:t>U</w:t>
      </w:r>
      <w:r w:rsidRPr="00686955">
        <w:rPr>
          <w:sz w:val="20"/>
        </w:rPr>
        <w:t xml:space="preserve">nits </w:t>
      </w:r>
      <w:r w:rsidRPr="00686955">
        <w:rPr>
          <w:sz w:val="20"/>
          <w:szCs w:val="20"/>
        </w:rPr>
        <w:t>and</w:t>
      </w:r>
      <w:r w:rsidRPr="00686955">
        <w:rPr>
          <w:sz w:val="20"/>
        </w:rPr>
        <w:t xml:space="preserve"> </w:t>
      </w:r>
      <w:r>
        <w:rPr>
          <w:sz w:val="20"/>
        </w:rPr>
        <w:t>T</w:t>
      </w:r>
      <w:r w:rsidRPr="00686955">
        <w:rPr>
          <w:sz w:val="20"/>
        </w:rPr>
        <w:t xml:space="preserve">heir </w:t>
      </w:r>
      <w:r>
        <w:rPr>
          <w:sz w:val="20"/>
        </w:rPr>
        <w:t>S</w:t>
      </w:r>
      <w:r w:rsidRPr="00686955">
        <w:rPr>
          <w:sz w:val="20"/>
        </w:rPr>
        <w:t>ource</w:t>
      </w:r>
    </w:p>
    <w:tbl>
      <w:tblPr>
        <w:tblW w:w="9654" w:type="dxa"/>
        <w:tblInd w:w="2" w:type="dxa"/>
        <w:tblLayout w:type="fixed"/>
        <w:tblLook w:val="01E0"/>
      </w:tblPr>
      <w:tblGrid>
        <w:gridCol w:w="1847"/>
        <w:gridCol w:w="1499"/>
        <w:gridCol w:w="825"/>
        <w:gridCol w:w="3105"/>
        <w:gridCol w:w="2378"/>
      </w:tblGrid>
      <w:tr w:rsidR="009A75F7" w:rsidRPr="00686955" w:rsidTr="009C3978">
        <w:trPr>
          <w:trHeight w:val="944"/>
        </w:trPr>
        <w:tc>
          <w:tcPr>
            <w:tcW w:w="1847" w:type="dxa"/>
            <w:tcBorders>
              <w:top w:val="single" w:sz="4" w:space="0" w:color="auto"/>
              <w:bottom w:val="single" w:sz="4" w:space="0" w:color="auto"/>
            </w:tcBorders>
            <w:vAlign w:val="center"/>
          </w:tcPr>
          <w:p w:rsidR="009A75F7" w:rsidRPr="00686955" w:rsidRDefault="009A75F7" w:rsidP="009C3978">
            <w:pPr>
              <w:spacing w:line="480" w:lineRule="auto"/>
              <w:rPr>
                <w:b/>
                <w:bCs/>
                <w:sz w:val="20"/>
                <w:szCs w:val="20"/>
              </w:rPr>
            </w:pPr>
            <w:r w:rsidRPr="00686955">
              <w:rPr>
                <w:b/>
                <w:bCs/>
                <w:sz w:val="20"/>
                <w:szCs w:val="20"/>
              </w:rPr>
              <w:t>Parameter</w:t>
            </w:r>
          </w:p>
        </w:tc>
        <w:tc>
          <w:tcPr>
            <w:tcW w:w="1499" w:type="dxa"/>
            <w:tcBorders>
              <w:top w:val="single" w:sz="4" w:space="0" w:color="auto"/>
              <w:bottom w:val="single" w:sz="4" w:space="0" w:color="auto"/>
            </w:tcBorders>
            <w:vAlign w:val="center"/>
          </w:tcPr>
          <w:p w:rsidR="009A75F7" w:rsidRPr="00686955" w:rsidRDefault="009A75F7" w:rsidP="009C3978">
            <w:pPr>
              <w:spacing w:line="480" w:lineRule="auto"/>
              <w:jc w:val="center"/>
              <w:rPr>
                <w:b/>
                <w:bCs/>
                <w:sz w:val="20"/>
                <w:szCs w:val="20"/>
              </w:rPr>
            </w:pPr>
            <w:r w:rsidRPr="00686955">
              <w:rPr>
                <w:b/>
                <w:bCs/>
                <w:sz w:val="20"/>
                <w:szCs w:val="20"/>
              </w:rPr>
              <w:t>Units</w:t>
            </w:r>
          </w:p>
        </w:tc>
        <w:tc>
          <w:tcPr>
            <w:tcW w:w="825" w:type="dxa"/>
            <w:tcBorders>
              <w:top w:val="single" w:sz="4" w:space="0" w:color="auto"/>
              <w:bottom w:val="single" w:sz="4" w:space="0" w:color="auto"/>
            </w:tcBorders>
            <w:vAlign w:val="center"/>
          </w:tcPr>
          <w:p w:rsidR="009A75F7" w:rsidRPr="00686955" w:rsidRDefault="009A75F7" w:rsidP="009C3978">
            <w:pPr>
              <w:spacing w:line="480" w:lineRule="auto"/>
              <w:jc w:val="center"/>
              <w:rPr>
                <w:b/>
                <w:bCs/>
                <w:sz w:val="20"/>
                <w:szCs w:val="20"/>
              </w:rPr>
            </w:pPr>
            <w:r w:rsidRPr="00686955">
              <w:rPr>
                <w:b/>
                <w:bCs/>
                <w:sz w:val="20"/>
                <w:szCs w:val="20"/>
              </w:rPr>
              <w:t>Value</w:t>
            </w:r>
          </w:p>
        </w:tc>
        <w:tc>
          <w:tcPr>
            <w:tcW w:w="3105" w:type="dxa"/>
            <w:tcBorders>
              <w:top w:val="single" w:sz="4" w:space="0" w:color="auto"/>
              <w:bottom w:val="single" w:sz="4" w:space="0" w:color="auto"/>
            </w:tcBorders>
            <w:vAlign w:val="center"/>
          </w:tcPr>
          <w:p w:rsidR="009A75F7" w:rsidRPr="00686955" w:rsidRDefault="009A75F7" w:rsidP="009C3978">
            <w:pPr>
              <w:spacing w:line="480" w:lineRule="auto"/>
              <w:rPr>
                <w:b/>
                <w:bCs/>
                <w:sz w:val="20"/>
                <w:szCs w:val="20"/>
              </w:rPr>
            </w:pPr>
            <w:r w:rsidRPr="00686955">
              <w:rPr>
                <w:b/>
                <w:bCs/>
                <w:sz w:val="20"/>
                <w:szCs w:val="20"/>
              </w:rPr>
              <w:t>Source</w:t>
            </w:r>
          </w:p>
        </w:tc>
        <w:tc>
          <w:tcPr>
            <w:tcW w:w="2378" w:type="dxa"/>
            <w:tcBorders>
              <w:top w:val="single" w:sz="4" w:space="0" w:color="auto"/>
              <w:bottom w:val="single" w:sz="4" w:space="0" w:color="auto"/>
            </w:tcBorders>
            <w:vAlign w:val="center"/>
          </w:tcPr>
          <w:p w:rsidR="009A75F7" w:rsidRPr="00686955" w:rsidRDefault="009A75F7" w:rsidP="009C3978">
            <w:pPr>
              <w:spacing w:line="480" w:lineRule="auto"/>
              <w:rPr>
                <w:b/>
                <w:bCs/>
                <w:sz w:val="20"/>
                <w:szCs w:val="20"/>
              </w:rPr>
            </w:pPr>
            <w:r w:rsidRPr="00686955">
              <w:rPr>
                <w:b/>
                <w:bCs/>
                <w:sz w:val="20"/>
                <w:szCs w:val="20"/>
              </w:rPr>
              <w:t>Comments</w:t>
            </w:r>
          </w:p>
        </w:tc>
      </w:tr>
      <w:tr w:rsidR="009A75F7" w:rsidRPr="00686955" w:rsidTr="009C3978">
        <w:trPr>
          <w:trHeight w:val="788"/>
        </w:trPr>
        <w:tc>
          <w:tcPr>
            <w:tcW w:w="1847" w:type="dxa"/>
            <w:tcBorders>
              <w:top w:val="single" w:sz="4" w:space="0" w:color="auto"/>
            </w:tcBorders>
            <w:vAlign w:val="center"/>
          </w:tcPr>
          <w:p w:rsidR="009A75F7" w:rsidRPr="00686955" w:rsidRDefault="009A75F7" w:rsidP="009C3978">
            <w:pPr>
              <w:spacing w:line="480" w:lineRule="auto"/>
              <w:rPr>
                <w:sz w:val="20"/>
                <w:szCs w:val="20"/>
              </w:rPr>
            </w:pPr>
            <w:r w:rsidRPr="00686955">
              <w:rPr>
                <w:sz w:val="20"/>
                <w:szCs w:val="20"/>
              </w:rPr>
              <w:t>Canopy height</w:t>
            </w:r>
          </w:p>
        </w:tc>
        <w:tc>
          <w:tcPr>
            <w:tcW w:w="1499" w:type="dxa"/>
            <w:tcBorders>
              <w:top w:val="single" w:sz="4" w:space="0" w:color="auto"/>
            </w:tcBorders>
            <w:vAlign w:val="center"/>
          </w:tcPr>
          <w:p w:rsidR="009A75F7" w:rsidRPr="00686955" w:rsidRDefault="009A75F7" w:rsidP="009C3978">
            <w:pPr>
              <w:spacing w:line="480" w:lineRule="auto"/>
              <w:jc w:val="center"/>
              <w:rPr>
                <w:sz w:val="20"/>
                <w:szCs w:val="20"/>
              </w:rPr>
            </w:pPr>
            <w:r w:rsidRPr="00686955">
              <w:rPr>
                <w:sz w:val="20"/>
                <w:szCs w:val="20"/>
              </w:rPr>
              <w:t>m</w:t>
            </w:r>
          </w:p>
        </w:tc>
        <w:tc>
          <w:tcPr>
            <w:tcW w:w="825" w:type="dxa"/>
            <w:tcBorders>
              <w:top w:val="single" w:sz="4" w:space="0" w:color="auto"/>
            </w:tcBorders>
            <w:vAlign w:val="center"/>
          </w:tcPr>
          <w:p w:rsidR="009A75F7" w:rsidRPr="00686955" w:rsidRDefault="009A75F7" w:rsidP="009C3978">
            <w:pPr>
              <w:spacing w:line="480" w:lineRule="auto"/>
              <w:jc w:val="center"/>
              <w:rPr>
                <w:sz w:val="20"/>
                <w:szCs w:val="20"/>
              </w:rPr>
            </w:pPr>
            <w:r w:rsidRPr="00686955">
              <w:rPr>
                <w:sz w:val="20"/>
                <w:szCs w:val="20"/>
              </w:rPr>
              <w:t>12.8</w:t>
            </w:r>
          </w:p>
        </w:tc>
        <w:tc>
          <w:tcPr>
            <w:tcW w:w="3105" w:type="dxa"/>
            <w:tcBorders>
              <w:top w:val="single" w:sz="4" w:space="0" w:color="auto"/>
            </w:tcBorders>
            <w:vAlign w:val="center"/>
          </w:tcPr>
          <w:p w:rsidR="009A75F7" w:rsidRPr="00686955" w:rsidRDefault="009A75F7" w:rsidP="009C3978">
            <w:pPr>
              <w:spacing w:line="480" w:lineRule="auto"/>
              <w:rPr>
                <w:sz w:val="20"/>
                <w:szCs w:val="20"/>
              </w:rPr>
            </w:pPr>
            <w:r w:rsidRPr="00686955">
              <w:rPr>
                <w:sz w:val="20"/>
                <w:szCs w:val="20"/>
              </w:rPr>
              <w:t>Field observations</w:t>
            </w:r>
          </w:p>
        </w:tc>
        <w:tc>
          <w:tcPr>
            <w:tcW w:w="2378" w:type="dxa"/>
            <w:tcBorders>
              <w:top w:val="single" w:sz="4" w:space="0" w:color="auto"/>
            </w:tcBorders>
            <w:vAlign w:val="center"/>
          </w:tcPr>
          <w:p w:rsidR="009A75F7" w:rsidRPr="00686955" w:rsidRDefault="009A75F7" w:rsidP="009C3978">
            <w:pPr>
              <w:spacing w:line="480" w:lineRule="auto"/>
              <w:rPr>
                <w:sz w:val="20"/>
                <w:szCs w:val="20"/>
              </w:rPr>
            </w:pPr>
          </w:p>
        </w:tc>
      </w:tr>
      <w:tr w:rsidR="009A75F7" w:rsidRPr="00686955" w:rsidTr="009C3978">
        <w:trPr>
          <w:trHeight w:val="838"/>
        </w:trPr>
        <w:tc>
          <w:tcPr>
            <w:tcW w:w="1847" w:type="dxa"/>
            <w:vAlign w:val="center"/>
          </w:tcPr>
          <w:p w:rsidR="009A75F7" w:rsidRPr="00686955" w:rsidRDefault="009A75F7" w:rsidP="009C3978">
            <w:pPr>
              <w:spacing w:line="480" w:lineRule="auto"/>
              <w:rPr>
                <w:sz w:val="20"/>
                <w:szCs w:val="20"/>
              </w:rPr>
            </w:pPr>
            <w:r w:rsidRPr="00686955">
              <w:rPr>
                <w:sz w:val="20"/>
                <w:szCs w:val="20"/>
              </w:rPr>
              <w:t>Aboveground conductance</w:t>
            </w:r>
          </w:p>
        </w:tc>
        <w:tc>
          <w:tcPr>
            <w:tcW w:w="1499" w:type="dxa"/>
            <w:vAlign w:val="center"/>
          </w:tcPr>
          <w:p w:rsidR="009A75F7" w:rsidRPr="00686955" w:rsidRDefault="009A75F7" w:rsidP="009C3978">
            <w:pPr>
              <w:spacing w:line="480" w:lineRule="auto"/>
              <w:jc w:val="center"/>
              <w:rPr>
                <w:sz w:val="20"/>
                <w:szCs w:val="20"/>
              </w:rPr>
            </w:pPr>
            <w:r w:rsidRPr="00686955">
              <w:rPr>
                <w:sz w:val="20"/>
                <w:szCs w:val="20"/>
              </w:rPr>
              <w:t>m</w:t>
            </w:r>
            <w:r w:rsidRPr="00686955">
              <w:rPr>
                <w:sz w:val="20"/>
                <w:szCs w:val="20"/>
                <w:vertAlign w:val="superscript"/>
              </w:rPr>
              <w:t xml:space="preserve">2 </w:t>
            </w:r>
            <w:proofErr w:type="spellStart"/>
            <w:r w:rsidRPr="00686955">
              <w:rPr>
                <w:sz w:val="20"/>
                <w:szCs w:val="20"/>
              </w:rPr>
              <w:t>MPa</w:t>
            </w:r>
            <w:proofErr w:type="spellEnd"/>
            <w:r w:rsidRPr="00686955">
              <w:rPr>
                <w:sz w:val="20"/>
                <w:szCs w:val="20"/>
              </w:rPr>
              <w:t xml:space="preserve"> mmol</w:t>
            </w:r>
            <w:r w:rsidRPr="00686955">
              <w:rPr>
                <w:sz w:val="20"/>
                <w:szCs w:val="20"/>
                <w:vertAlign w:val="superscript"/>
              </w:rPr>
              <w:t>-1</w:t>
            </w:r>
          </w:p>
        </w:tc>
        <w:tc>
          <w:tcPr>
            <w:tcW w:w="825" w:type="dxa"/>
            <w:vAlign w:val="center"/>
          </w:tcPr>
          <w:p w:rsidR="009A75F7" w:rsidRPr="00686955" w:rsidRDefault="009A75F7" w:rsidP="009C3978">
            <w:pPr>
              <w:spacing w:line="480" w:lineRule="auto"/>
              <w:jc w:val="center"/>
              <w:rPr>
                <w:sz w:val="20"/>
                <w:szCs w:val="20"/>
              </w:rPr>
            </w:pPr>
            <w:r w:rsidRPr="00686955">
              <w:rPr>
                <w:sz w:val="20"/>
                <w:szCs w:val="20"/>
              </w:rPr>
              <w:t>3.5</w:t>
            </w:r>
          </w:p>
        </w:tc>
        <w:tc>
          <w:tcPr>
            <w:tcW w:w="3105" w:type="dxa"/>
            <w:vAlign w:val="center"/>
          </w:tcPr>
          <w:p w:rsidR="009A75F7" w:rsidRPr="00686955" w:rsidRDefault="009A75F7" w:rsidP="009C3978">
            <w:pPr>
              <w:spacing w:line="480" w:lineRule="auto"/>
              <w:rPr>
                <w:sz w:val="20"/>
                <w:szCs w:val="20"/>
              </w:rPr>
            </w:pPr>
            <w:r w:rsidRPr="00686955">
              <w:rPr>
                <w:sz w:val="20"/>
                <w:szCs w:val="20"/>
              </w:rPr>
              <w:t>Parameterised according to leaf specific conductivity (</w:t>
            </w:r>
            <w:r w:rsidRPr="00686955">
              <w:rPr>
                <w:i/>
                <w:iCs/>
                <w:sz w:val="20"/>
                <w:szCs w:val="20"/>
              </w:rPr>
              <w:t>LSC</w:t>
            </w:r>
            <w:r w:rsidRPr="00686955">
              <w:rPr>
                <w:sz w:val="20"/>
                <w:szCs w:val="20"/>
              </w:rPr>
              <w:t>)</w:t>
            </w:r>
          </w:p>
        </w:tc>
        <w:tc>
          <w:tcPr>
            <w:tcW w:w="2378" w:type="dxa"/>
            <w:vAlign w:val="center"/>
          </w:tcPr>
          <w:p w:rsidR="009A75F7" w:rsidRPr="00686955" w:rsidRDefault="009A75F7" w:rsidP="009C3978">
            <w:pPr>
              <w:spacing w:line="480" w:lineRule="auto"/>
              <w:rPr>
                <w:sz w:val="20"/>
                <w:szCs w:val="20"/>
              </w:rPr>
            </w:pPr>
            <w:r w:rsidRPr="00686955">
              <w:rPr>
                <w:sz w:val="20"/>
                <w:szCs w:val="20"/>
              </w:rPr>
              <w:t>Aboveground and belowground resistances were supposed to both represent 50% of the total resistivity.</w:t>
            </w:r>
          </w:p>
        </w:tc>
      </w:tr>
      <w:tr w:rsidR="009A75F7" w:rsidRPr="00686955" w:rsidTr="009C3978">
        <w:trPr>
          <w:trHeight w:val="824"/>
        </w:trPr>
        <w:tc>
          <w:tcPr>
            <w:tcW w:w="1847" w:type="dxa"/>
            <w:vAlign w:val="center"/>
          </w:tcPr>
          <w:p w:rsidR="009A75F7" w:rsidRPr="00686955" w:rsidRDefault="009A75F7" w:rsidP="009C3978">
            <w:pPr>
              <w:spacing w:line="480" w:lineRule="auto"/>
              <w:rPr>
                <w:sz w:val="20"/>
                <w:szCs w:val="20"/>
              </w:rPr>
            </w:pPr>
            <w:r w:rsidRPr="00686955">
              <w:rPr>
                <w:sz w:val="20"/>
                <w:szCs w:val="20"/>
              </w:rPr>
              <w:t>Root resistivity</w:t>
            </w:r>
          </w:p>
        </w:tc>
        <w:tc>
          <w:tcPr>
            <w:tcW w:w="1499" w:type="dxa"/>
            <w:vAlign w:val="center"/>
          </w:tcPr>
          <w:p w:rsidR="009A75F7" w:rsidRPr="00686955" w:rsidRDefault="009A75F7" w:rsidP="009C3978">
            <w:pPr>
              <w:spacing w:line="480" w:lineRule="auto"/>
              <w:jc w:val="center"/>
              <w:rPr>
                <w:sz w:val="20"/>
                <w:szCs w:val="20"/>
              </w:rPr>
            </w:pPr>
            <w:r w:rsidRPr="00686955">
              <w:rPr>
                <w:sz w:val="20"/>
                <w:szCs w:val="20"/>
              </w:rPr>
              <w:t>MPa s g mmol</w:t>
            </w:r>
            <w:r w:rsidRPr="00686955">
              <w:rPr>
                <w:sz w:val="20"/>
                <w:szCs w:val="20"/>
                <w:vertAlign w:val="superscript"/>
              </w:rPr>
              <w:t>-1</w:t>
            </w:r>
          </w:p>
        </w:tc>
        <w:tc>
          <w:tcPr>
            <w:tcW w:w="825" w:type="dxa"/>
            <w:vAlign w:val="center"/>
          </w:tcPr>
          <w:p w:rsidR="009A75F7" w:rsidRPr="00686955" w:rsidRDefault="009A75F7" w:rsidP="009C3978">
            <w:pPr>
              <w:spacing w:line="480" w:lineRule="auto"/>
              <w:jc w:val="center"/>
              <w:rPr>
                <w:sz w:val="20"/>
                <w:szCs w:val="20"/>
              </w:rPr>
            </w:pPr>
            <w:r w:rsidRPr="00686955">
              <w:rPr>
                <w:sz w:val="20"/>
                <w:szCs w:val="20"/>
              </w:rPr>
              <w:t>140</w:t>
            </w:r>
          </w:p>
        </w:tc>
        <w:tc>
          <w:tcPr>
            <w:tcW w:w="3105" w:type="dxa"/>
            <w:vAlign w:val="center"/>
          </w:tcPr>
          <w:p w:rsidR="009A75F7" w:rsidRPr="00686955" w:rsidRDefault="009A75F7" w:rsidP="009C3978">
            <w:pPr>
              <w:spacing w:line="480" w:lineRule="auto"/>
              <w:rPr>
                <w:sz w:val="20"/>
                <w:szCs w:val="20"/>
              </w:rPr>
            </w:pPr>
            <w:r w:rsidRPr="00686955">
              <w:rPr>
                <w:sz w:val="20"/>
                <w:szCs w:val="20"/>
              </w:rPr>
              <w:t>Parameterised according to leaf specific conductivity (</w:t>
            </w:r>
            <w:r w:rsidRPr="00686955">
              <w:rPr>
                <w:i/>
                <w:iCs/>
                <w:sz w:val="20"/>
                <w:szCs w:val="20"/>
              </w:rPr>
              <w:t>LSC</w:t>
            </w:r>
            <w:r w:rsidRPr="00686955">
              <w:rPr>
                <w:sz w:val="20"/>
                <w:szCs w:val="20"/>
              </w:rPr>
              <w:t>)</w:t>
            </w:r>
          </w:p>
        </w:tc>
        <w:tc>
          <w:tcPr>
            <w:tcW w:w="2378" w:type="dxa"/>
            <w:vAlign w:val="center"/>
          </w:tcPr>
          <w:p w:rsidR="009A75F7" w:rsidRPr="00686955" w:rsidRDefault="009A75F7" w:rsidP="009C3978">
            <w:pPr>
              <w:spacing w:line="480" w:lineRule="auto"/>
              <w:rPr>
                <w:sz w:val="20"/>
                <w:szCs w:val="20"/>
              </w:rPr>
            </w:pPr>
            <w:r w:rsidRPr="00686955">
              <w:rPr>
                <w:sz w:val="20"/>
                <w:szCs w:val="20"/>
              </w:rPr>
              <w:t>Aboveground and belowground resistances were supposed to both represent 50% of the total resistivity.</w:t>
            </w:r>
          </w:p>
        </w:tc>
      </w:tr>
      <w:tr w:rsidR="009A75F7" w:rsidRPr="00686955" w:rsidTr="009C3978">
        <w:trPr>
          <w:trHeight w:val="576"/>
        </w:trPr>
        <w:tc>
          <w:tcPr>
            <w:tcW w:w="1847" w:type="dxa"/>
            <w:vAlign w:val="center"/>
          </w:tcPr>
          <w:p w:rsidR="009A75F7" w:rsidRPr="00686955" w:rsidRDefault="009A75F7" w:rsidP="009C3978">
            <w:pPr>
              <w:spacing w:line="480" w:lineRule="auto"/>
              <w:rPr>
                <w:sz w:val="20"/>
                <w:szCs w:val="20"/>
              </w:rPr>
            </w:pPr>
            <w:r w:rsidRPr="00686955">
              <w:rPr>
                <w:sz w:val="20"/>
                <w:szCs w:val="20"/>
              </w:rPr>
              <w:t>Rooting depth</w:t>
            </w:r>
          </w:p>
        </w:tc>
        <w:tc>
          <w:tcPr>
            <w:tcW w:w="1499" w:type="dxa"/>
            <w:vAlign w:val="center"/>
          </w:tcPr>
          <w:p w:rsidR="009A75F7" w:rsidRPr="00686955" w:rsidRDefault="009A75F7" w:rsidP="009C3978">
            <w:pPr>
              <w:spacing w:line="480" w:lineRule="auto"/>
              <w:jc w:val="center"/>
              <w:rPr>
                <w:sz w:val="20"/>
                <w:szCs w:val="20"/>
              </w:rPr>
            </w:pPr>
            <w:r w:rsidRPr="00686955">
              <w:rPr>
                <w:sz w:val="20"/>
                <w:szCs w:val="20"/>
              </w:rPr>
              <w:t>m</w:t>
            </w:r>
          </w:p>
        </w:tc>
        <w:tc>
          <w:tcPr>
            <w:tcW w:w="825" w:type="dxa"/>
            <w:vAlign w:val="center"/>
          </w:tcPr>
          <w:p w:rsidR="009A75F7" w:rsidRPr="00686955" w:rsidRDefault="009A75F7" w:rsidP="009C3978">
            <w:pPr>
              <w:spacing w:line="480" w:lineRule="auto"/>
              <w:jc w:val="center"/>
              <w:rPr>
                <w:sz w:val="20"/>
                <w:szCs w:val="20"/>
              </w:rPr>
            </w:pPr>
            <w:r w:rsidRPr="00686955">
              <w:rPr>
                <w:sz w:val="20"/>
                <w:szCs w:val="20"/>
              </w:rPr>
              <w:t>0.3</w:t>
            </w:r>
          </w:p>
        </w:tc>
        <w:tc>
          <w:tcPr>
            <w:tcW w:w="3105" w:type="dxa"/>
            <w:vAlign w:val="center"/>
          </w:tcPr>
          <w:p w:rsidR="009A75F7" w:rsidRPr="00686955" w:rsidRDefault="009A75F7" w:rsidP="009C3978">
            <w:pPr>
              <w:spacing w:line="480" w:lineRule="auto"/>
              <w:rPr>
                <w:sz w:val="20"/>
                <w:szCs w:val="20"/>
              </w:rPr>
            </w:pPr>
            <w:r w:rsidRPr="00686955">
              <w:rPr>
                <w:sz w:val="20"/>
                <w:szCs w:val="20"/>
              </w:rPr>
              <w:t>Measurements from field samples (Girardin and others 2013)</w:t>
            </w:r>
          </w:p>
        </w:tc>
        <w:tc>
          <w:tcPr>
            <w:tcW w:w="2378" w:type="dxa"/>
            <w:vAlign w:val="center"/>
          </w:tcPr>
          <w:p w:rsidR="009A75F7" w:rsidRPr="00686955" w:rsidRDefault="009A75F7" w:rsidP="009C3978">
            <w:pPr>
              <w:spacing w:line="480" w:lineRule="auto"/>
              <w:rPr>
                <w:sz w:val="20"/>
                <w:szCs w:val="20"/>
              </w:rPr>
            </w:pPr>
          </w:p>
        </w:tc>
      </w:tr>
      <w:tr w:rsidR="009A75F7" w:rsidRPr="00686955" w:rsidTr="009C3978">
        <w:trPr>
          <w:trHeight w:val="214"/>
        </w:trPr>
        <w:tc>
          <w:tcPr>
            <w:tcW w:w="1847" w:type="dxa"/>
            <w:vAlign w:val="center"/>
          </w:tcPr>
          <w:p w:rsidR="009A75F7" w:rsidRPr="00686955" w:rsidRDefault="009A75F7" w:rsidP="009C3978">
            <w:pPr>
              <w:spacing w:line="480" w:lineRule="auto"/>
              <w:rPr>
                <w:sz w:val="20"/>
                <w:szCs w:val="20"/>
              </w:rPr>
            </w:pPr>
            <w:r w:rsidRPr="00686955">
              <w:rPr>
                <w:sz w:val="20"/>
                <w:szCs w:val="20"/>
              </w:rPr>
              <w:t>Root biomass</w:t>
            </w:r>
          </w:p>
        </w:tc>
        <w:tc>
          <w:tcPr>
            <w:tcW w:w="1499" w:type="dxa"/>
            <w:vAlign w:val="center"/>
          </w:tcPr>
          <w:p w:rsidR="009A75F7" w:rsidRPr="00686955" w:rsidRDefault="009A75F7" w:rsidP="009C3978">
            <w:pPr>
              <w:spacing w:line="480" w:lineRule="auto"/>
              <w:jc w:val="center"/>
              <w:rPr>
                <w:sz w:val="20"/>
                <w:szCs w:val="20"/>
              </w:rPr>
            </w:pPr>
            <w:r w:rsidRPr="00686955">
              <w:rPr>
                <w:sz w:val="20"/>
                <w:szCs w:val="20"/>
              </w:rPr>
              <w:t>g m</w:t>
            </w:r>
            <w:r w:rsidRPr="00686955">
              <w:rPr>
                <w:sz w:val="20"/>
                <w:szCs w:val="20"/>
                <w:vertAlign w:val="superscript"/>
              </w:rPr>
              <w:t>-3</w:t>
            </w:r>
          </w:p>
        </w:tc>
        <w:tc>
          <w:tcPr>
            <w:tcW w:w="825" w:type="dxa"/>
            <w:vAlign w:val="center"/>
          </w:tcPr>
          <w:p w:rsidR="009A75F7" w:rsidRPr="00686955" w:rsidRDefault="009A75F7" w:rsidP="009C3978">
            <w:pPr>
              <w:spacing w:line="480" w:lineRule="auto"/>
              <w:jc w:val="center"/>
              <w:rPr>
                <w:sz w:val="20"/>
                <w:szCs w:val="20"/>
              </w:rPr>
            </w:pPr>
            <w:r w:rsidRPr="00686955">
              <w:rPr>
                <w:sz w:val="20"/>
                <w:szCs w:val="20"/>
              </w:rPr>
              <w:t>7240</w:t>
            </w:r>
          </w:p>
        </w:tc>
        <w:tc>
          <w:tcPr>
            <w:tcW w:w="3105" w:type="dxa"/>
            <w:vAlign w:val="center"/>
          </w:tcPr>
          <w:p w:rsidR="009A75F7" w:rsidRPr="00686955" w:rsidRDefault="009A75F7" w:rsidP="009C3978">
            <w:pPr>
              <w:spacing w:line="480" w:lineRule="auto"/>
              <w:rPr>
                <w:sz w:val="20"/>
                <w:szCs w:val="20"/>
              </w:rPr>
            </w:pPr>
            <w:r w:rsidRPr="00686955">
              <w:rPr>
                <w:sz w:val="20"/>
                <w:szCs w:val="20"/>
              </w:rPr>
              <w:t>Measurements from field samples (Girardin and others 2013)</w:t>
            </w:r>
          </w:p>
        </w:tc>
        <w:tc>
          <w:tcPr>
            <w:tcW w:w="2378" w:type="dxa"/>
            <w:vAlign w:val="center"/>
          </w:tcPr>
          <w:p w:rsidR="009A75F7" w:rsidRPr="00686955" w:rsidRDefault="009A75F7" w:rsidP="009C3978">
            <w:pPr>
              <w:spacing w:line="480" w:lineRule="auto"/>
              <w:rPr>
                <w:sz w:val="20"/>
                <w:szCs w:val="20"/>
              </w:rPr>
            </w:pPr>
          </w:p>
        </w:tc>
      </w:tr>
      <w:tr w:rsidR="009A75F7" w:rsidRPr="00686955" w:rsidTr="009C3978">
        <w:trPr>
          <w:trHeight w:val="214"/>
        </w:trPr>
        <w:tc>
          <w:tcPr>
            <w:tcW w:w="1847" w:type="dxa"/>
            <w:vAlign w:val="center"/>
          </w:tcPr>
          <w:p w:rsidR="009A75F7" w:rsidRPr="00686955" w:rsidRDefault="009A75F7" w:rsidP="009C3978">
            <w:pPr>
              <w:spacing w:line="480" w:lineRule="auto"/>
              <w:rPr>
                <w:sz w:val="20"/>
                <w:szCs w:val="20"/>
              </w:rPr>
            </w:pPr>
            <w:r w:rsidRPr="00686955">
              <w:rPr>
                <w:sz w:val="20"/>
                <w:szCs w:val="20"/>
              </w:rPr>
              <w:t>Total root biomass</w:t>
            </w:r>
          </w:p>
        </w:tc>
        <w:tc>
          <w:tcPr>
            <w:tcW w:w="1499" w:type="dxa"/>
            <w:vAlign w:val="center"/>
          </w:tcPr>
          <w:p w:rsidR="009A75F7" w:rsidRPr="00686955" w:rsidRDefault="009A75F7" w:rsidP="009C3978">
            <w:pPr>
              <w:spacing w:line="480" w:lineRule="auto"/>
              <w:jc w:val="center"/>
              <w:rPr>
                <w:sz w:val="20"/>
                <w:szCs w:val="20"/>
              </w:rPr>
            </w:pPr>
            <w:r w:rsidRPr="00686955">
              <w:rPr>
                <w:sz w:val="20"/>
                <w:szCs w:val="20"/>
              </w:rPr>
              <w:t>g m</w:t>
            </w:r>
            <w:r w:rsidRPr="00686955">
              <w:rPr>
                <w:sz w:val="20"/>
                <w:szCs w:val="20"/>
                <w:vertAlign w:val="superscript"/>
              </w:rPr>
              <w:t>-2</w:t>
            </w:r>
          </w:p>
        </w:tc>
        <w:tc>
          <w:tcPr>
            <w:tcW w:w="825" w:type="dxa"/>
            <w:vAlign w:val="center"/>
          </w:tcPr>
          <w:p w:rsidR="009A75F7" w:rsidRPr="00686955" w:rsidRDefault="009A75F7" w:rsidP="009C3978">
            <w:pPr>
              <w:spacing w:line="480" w:lineRule="auto"/>
              <w:jc w:val="center"/>
              <w:rPr>
                <w:sz w:val="20"/>
                <w:szCs w:val="20"/>
              </w:rPr>
            </w:pPr>
            <w:r w:rsidRPr="00686955">
              <w:rPr>
                <w:sz w:val="20"/>
                <w:szCs w:val="20"/>
              </w:rPr>
              <w:t>1448</w:t>
            </w:r>
          </w:p>
        </w:tc>
        <w:tc>
          <w:tcPr>
            <w:tcW w:w="3105" w:type="dxa"/>
            <w:vAlign w:val="center"/>
          </w:tcPr>
          <w:p w:rsidR="009A75F7" w:rsidRPr="00686955" w:rsidRDefault="009A75F7" w:rsidP="009C3978">
            <w:pPr>
              <w:spacing w:line="480" w:lineRule="auto"/>
              <w:rPr>
                <w:sz w:val="20"/>
                <w:szCs w:val="20"/>
              </w:rPr>
            </w:pPr>
            <w:r w:rsidRPr="00686955">
              <w:rPr>
                <w:sz w:val="20"/>
                <w:szCs w:val="20"/>
              </w:rPr>
              <w:t>Measurements from field samples (Girardin and others 2013)</w:t>
            </w:r>
          </w:p>
        </w:tc>
        <w:tc>
          <w:tcPr>
            <w:tcW w:w="2378" w:type="dxa"/>
            <w:vAlign w:val="center"/>
          </w:tcPr>
          <w:p w:rsidR="009A75F7" w:rsidRPr="00686955" w:rsidRDefault="009A75F7" w:rsidP="009C3978">
            <w:pPr>
              <w:spacing w:line="480" w:lineRule="auto"/>
              <w:rPr>
                <w:sz w:val="20"/>
                <w:szCs w:val="20"/>
              </w:rPr>
            </w:pPr>
          </w:p>
        </w:tc>
      </w:tr>
      <w:tr w:rsidR="009A75F7" w:rsidRPr="00686955" w:rsidTr="009C3978">
        <w:trPr>
          <w:trHeight w:val="214"/>
        </w:trPr>
        <w:tc>
          <w:tcPr>
            <w:tcW w:w="1847" w:type="dxa"/>
            <w:vAlign w:val="center"/>
          </w:tcPr>
          <w:p w:rsidR="009A75F7" w:rsidRPr="00686955" w:rsidRDefault="009A75F7" w:rsidP="009C3978">
            <w:pPr>
              <w:spacing w:line="480" w:lineRule="auto"/>
              <w:rPr>
                <w:sz w:val="20"/>
                <w:szCs w:val="20"/>
              </w:rPr>
            </w:pPr>
            <w:r w:rsidRPr="00686955">
              <w:rPr>
                <w:sz w:val="20"/>
                <w:szCs w:val="20"/>
              </w:rPr>
              <w:t>Organic Fraction</w:t>
            </w:r>
          </w:p>
        </w:tc>
        <w:tc>
          <w:tcPr>
            <w:tcW w:w="1499" w:type="dxa"/>
            <w:vAlign w:val="center"/>
          </w:tcPr>
          <w:p w:rsidR="009A75F7" w:rsidRPr="00686955" w:rsidRDefault="009A75F7" w:rsidP="009C3978">
            <w:pPr>
              <w:spacing w:line="480" w:lineRule="auto"/>
              <w:jc w:val="center"/>
              <w:rPr>
                <w:sz w:val="20"/>
                <w:szCs w:val="20"/>
              </w:rPr>
            </w:pPr>
          </w:p>
        </w:tc>
        <w:tc>
          <w:tcPr>
            <w:tcW w:w="825" w:type="dxa"/>
            <w:vAlign w:val="center"/>
          </w:tcPr>
          <w:p w:rsidR="009A75F7" w:rsidRPr="00686955" w:rsidRDefault="009A75F7" w:rsidP="009C3978">
            <w:pPr>
              <w:spacing w:line="480" w:lineRule="auto"/>
              <w:jc w:val="center"/>
              <w:rPr>
                <w:sz w:val="20"/>
                <w:szCs w:val="20"/>
              </w:rPr>
            </w:pPr>
            <w:r w:rsidRPr="00686955">
              <w:rPr>
                <w:sz w:val="20"/>
                <w:szCs w:val="20"/>
              </w:rPr>
              <w:t>0.154</w:t>
            </w:r>
          </w:p>
        </w:tc>
        <w:tc>
          <w:tcPr>
            <w:tcW w:w="3105" w:type="dxa"/>
            <w:vAlign w:val="center"/>
          </w:tcPr>
          <w:p w:rsidR="009A75F7" w:rsidRPr="00686955" w:rsidRDefault="009A75F7" w:rsidP="009C3978">
            <w:pPr>
              <w:spacing w:line="480" w:lineRule="auto"/>
              <w:rPr>
                <w:sz w:val="20"/>
                <w:szCs w:val="20"/>
              </w:rPr>
            </w:pPr>
            <w:r w:rsidRPr="00686955">
              <w:rPr>
                <w:sz w:val="20"/>
                <w:szCs w:val="20"/>
              </w:rPr>
              <w:t xml:space="preserve">Field measurements (Zimmermann </w:t>
            </w:r>
            <w:r w:rsidRPr="00686955">
              <w:rPr>
                <w:sz w:val="20"/>
                <w:szCs w:val="20"/>
              </w:rPr>
              <w:lastRenderedPageBreak/>
              <w:t>and others 2009)</w:t>
            </w:r>
          </w:p>
        </w:tc>
        <w:tc>
          <w:tcPr>
            <w:tcW w:w="2378" w:type="dxa"/>
            <w:vAlign w:val="center"/>
          </w:tcPr>
          <w:p w:rsidR="009A75F7" w:rsidRPr="00686955" w:rsidRDefault="009A75F7" w:rsidP="009C3978">
            <w:pPr>
              <w:spacing w:line="480" w:lineRule="auto"/>
              <w:rPr>
                <w:sz w:val="20"/>
                <w:szCs w:val="20"/>
              </w:rPr>
            </w:pPr>
          </w:p>
        </w:tc>
      </w:tr>
      <w:tr w:rsidR="009A75F7" w:rsidRPr="00686955" w:rsidTr="009C3978">
        <w:trPr>
          <w:trHeight w:val="214"/>
        </w:trPr>
        <w:tc>
          <w:tcPr>
            <w:tcW w:w="1847" w:type="dxa"/>
            <w:vAlign w:val="center"/>
          </w:tcPr>
          <w:p w:rsidR="009A75F7" w:rsidRPr="00686955" w:rsidRDefault="009A75F7" w:rsidP="009C3978">
            <w:pPr>
              <w:spacing w:line="480" w:lineRule="auto"/>
              <w:rPr>
                <w:sz w:val="20"/>
                <w:szCs w:val="20"/>
              </w:rPr>
            </w:pPr>
            <w:r w:rsidRPr="00686955">
              <w:rPr>
                <w:sz w:val="20"/>
                <w:szCs w:val="20"/>
              </w:rPr>
              <w:lastRenderedPageBreak/>
              <w:t>Sand Fraction</w:t>
            </w:r>
          </w:p>
        </w:tc>
        <w:tc>
          <w:tcPr>
            <w:tcW w:w="1499" w:type="dxa"/>
            <w:vAlign w:val="center"/>
          </w:tcPr>
          <w:p w:rsidR="009A75F7" w:rsidRPr="00686955" w:rsidRDefault="009A75F7" w:rsidP="009C3978">
            <w:pPr>
              <w:spacing w:line="480" w:lineRule="auto"/>
              <w:jc w:val="center"/>
              <w:rPr>
                <w:sz w:val="20"/>
                <w:szCs w:val="20"/>
              </w:rPr>
            </w:pPr>
          </w:p>
        </w:tc>
        <w:tc>
          <w:tcPr>
            <w:tcW w:w="825" w:type="dxa"/>
            <w:vAlign w:val="center"/>
          </w:tcPr>
          <w:p w:rsidR="009A75F7" w:rsidRPr="00686955" w:rsidRDefault="009A75F7" w:rsidP="009C3978">
            <w:pPr>
              <w:spacing w:line="480" w:lineRule="auto"/>
              <w:jc w:val="center"/>
              <w:rPr>
                <w:sz w:val="20"/>
                <w:szCs w:val="20"/>
              </w:rPr>
            </w:pPr>
            <w:r w:rsidRPr="00686955">
              <w:rPr>
                <w:sz w:val="20"/>
                <w:szCs w:val="20"/>
              </w:rPr>
              <w:t>0.096</w:t>
            </w:r>
          </w:p>
        </w:tc>
        <w:tc>
          <w:tcPr>
            <w:tcW w:w="3105" w:type="dxa"/>
            <w:vAlign w:val="center"/>
          </w:tcPr>
          <w:p w:rsidR="009A75F7" w:rsidRPr="00686955" w:rsidRDefault="009A75F7" w:rsidP="009C3978">
            <w:pPr>
              <w:spacing w:line="480" w:lineRule="auto"/>
              <w:rPr>
                <w:sz w:val="20"/>
                <w:szCs w:val="20"/>
              </w:rPr>
            </w:pPr>
            <w:r w:rsidRPr="00686955">
              <w:rPr>
                <w:sz w:val="20"/>
                <w:szCs w:val="20"/>
              </w:rPr>
              <w:t>Field measurements (Zimmermann and others 2009)</w:t>
            </w:r>
          </w:p>
        </w:tc>
        <w:tc>
          <w:tcPr>
            <w:tcW w:w="2378" w:type="dxa"/>
            <w:vAlign w:val="center"/>
          </w:tcPr>
          <w:p w:rsidR="009A75F7" w:rsidRPr="00686955" w:rsidRDefault="009A75F7" w:rsidP="009C3978">
            <w:pPr>
              <w:spacing w:line="480" w:lineRule="auto"/>
              <w:rPr>
                <w:sz w:val="20"/>
                <w:szCs w:val="20"/>
              </w:rPr>
            </w:pPr>
          </w:p>
        </w:tc>
      </w:tr>
      <w:tr w:rsidR="009A75F7" w:rsidRPr="00686955" w:rsidTr="009C3978">
        <w:trPr>
          <w:trHeight w:val="214"/>
        </w:trPr>
        <w:tc>
          <w:tcPr>
            <w:tcW w:w="1847" w:type="dxa"/>
            <w:vAlign w:val="center"/>
          </w:tcPr>
          <w:p w:rsidR="009A75F7" w:rsidRPr="00686955" w:rsidRDefault="009A75F7" w:rsidP="009C3978">
            <w:pPr>
              <w:spacing w:line="480" w:lineRule="auto"/>
              <w:rPr>
                <w:sz w:val="20"/>
                <w:szCs w:val="20"/>
              </w:rPr>
            </w:pPr>
            <w:r w:rsidRPr="00686955">
              <w:rPr>
                <w:sz w:val="20"/>
                <w:szCs w:val="20"/>
              </w:rPr>
              <w:t>Clay fraction</w:t>
            </w:r>
          </w:p>
        </w:tc>
        <w:tc>
          <w:tcPr>
            <w:tcW w:w="1499" w:type="dxa"/>
            <w:vAlign w:val="center"/>
          </w:tcPr>
          <w:p w:rsidR="009A75F7" w:rsidRPr="00686955" w:rsidRDefault="009A75F7" w:rsidP="009C3978">
            <w:pPr>
              <w:spacing w:line="480" w:lineRule="auto"/>
              <w:jc w:val="center"/>
              <w:rPr>
                <w:sz w:val="20"/>
                <w:szCs w:val="20"/>
              </w:rPr>
            </w:pPr>
          </w:p>
        </w:tc>
        <w:tc>
          <w:tcPr>
            <w:tcW w:w="825" w:type="dxa"/>
            <w:vAlign w:val="center"/>
          </w:tcPr>
          <w:p w:rsidR="009A75F7" w:rsidRPr="00686955" w:rsidRDefault="009A75F7" w:rsidP="009C3978">
            <w:pPr>
              <w:spacing w:line="480" w:lineRule="auto"/>
              <w:jc w:val="center"/>
              <w:rPr>
                <w:sz w:val="20"/>
                <w:szCs w:val="20"/>
              </w:rPr>
            </w:pPr>
            <w:r w:rsidRPr="00686955">
              <w:rPr>
                <w:sz w:val="20"/>
                <w:szCs w:val="20"/>
              </w:rPr>
              <w:t>0.149</w:t>
            </w:r>
          </w:p>
        </w:tc>
        <w:tc>
          <w:tcPr>
            <w:tcW w:w="3105" w:type="dxa"/>
            <w:vAlign w:val="center"/>
          </w:tcPr>
          <w:p w:rsidR="009A75F7" w:rsidRPr="00686955" w:rsidRDefault="009A75F7" w:rsidP="009C3978">
            <w:pPr>
              <w:spacing w:line="480" w:lineRule="auto"/>
              <w:rPr>
                <w:sz w:val="20"/>
                <w:szCs w:val="20"/>
              </w:rPr>
            </w:pPr>
            <w:r w:rsidRPr="00686955">
              <w:rPr>
                <w:sz w:val="20"/>
                <w:szCs w:val="20"/>
              </w:rPr>
              <w:t>Field measurements (Zimmermann and others 2009)</w:t>
            </w:r>
          </w:p>
        </w:tc>
        <w:tc>
          <w:tcPr>
            <w:tcW w:w="2378" w:type="dxa"/>
            <w:vAlign w:val="center"/>
          </w:tcPr>
          <w:p w:rsidR="009A75F7" w:rsidRPr="00686955" w:rsidRDefault="009A75F7" w:rsidP="009C3978">
            <w:pPr>
              <w:spacing w:line="480" w:lineRule="auto"/>
              <w:rPr>
                <w:sz w:val="20"/>
                <w:szCs w:val="20"/>
              </w:rPr>
            </w:pPr>
          </w:p>
        </w:tc>
      </w:tr>
      <w:tr w:rsidR="009A75F7" w:rsidRPr="00686955" w:rsidTr="009C3978">
        <w:trPr>
          <w:trHeight w:val="214"/>
        </w:trPr>
        <w:tc>
          <w:tcPr>
            <w:tcW w:w="1847" w:type="dxa"/>
            <w:vAlign w:val="center"/>
          </w:tcPr>
          <w:p w:rsidR="009A75F7" w:rsidRPr="00686955" w:rsidRDefault="009A75F7" w:rsidP="009C3978">
            <w:pPr>
              <w:spacing w:line="480" w:lineRule="auto"/>
              <w:rPr>
                <w:sz w:val="20"/>
                <w:szCs w:val="20"/>
              </w:rPr>
            </w:pPr>
            <w:r w:rsidRPr="00686955">
              <w:rPr>
                <w:sz w:val="20"/>
                <w:szCs w:val="20"/>
              </w:rPr>
              <w:t>Initial water fraction</w:t>
            </w:r>
          </w:p>
        </w:tc>
        <w:tc>
          <w:tcPr>
            <w:tcW w:w="1499" w:type="dxa"/>
            <w:vAlign w:val="center"/>
          </w:tcPr>
          <w:p w:rsidR="009A75F7" w:rsidRPr="00686955" w:rsidRDefault="009A75F7" w:rsidP="009C3978">
            <w:pPr>
              <w:spacing w:line="480" w:lineRule="auto"/>
              <w:jc w:val="center"/>
              <w:rPr>
                <w:sz w:val="20"/>
                <w:szCs w:val="20"/>
              </w:rPr>
            </w:pPr>
          </w:p>
        </w:tc>
        <w:tc>
          <w:tcPr>
            <w:tcW w:w="825" w:type="dxa"/>
            <w:vAlign w:val="center"/>
          </w:tcPr>
          <w:p w:rsidR="009A75F7" w:rsidRPr="00686955" w:rsidRDefault="009A75F7" w:rsidP="009C3978">
            <w:pPr>
              <w:spacing w:line="480" w:lineRule="auto"/>
              <w:jc w:val="center"/>
              <w:rPr>
                <w:sz w:val="20"/>
                <w:szCs w:val="20"/>
              </w:rPr>
            </w:pPr>
            <w:r w:rsidRPr="00686955">
              <w:rPr>
                <w:sz w:val="20"/>
                <w:szCs w:val="20"/>
              </w:rPr>
              <w:t>0.22</w:t>
            </w:r>
          </w:p>
        </w:tc>
        <w:tc>
          <w:tcPr>
            <w:tcW w:w="3105" w:type="dxa"/>
            <w:vAlign w:val="center"/>
          </w:tcPr>
          <w:p w:rsidR="009A75F7" w:rsidRPr="00686955" w:rsidRDefault="009A75F7" w:rsidP="009C3978">
            <w:pPr>
              <w:spacing w:line="480" w:lineRule="auto"/>
              <w:rPr>
                <w:sz w:val="20"/>
                <w:szCs w:val="20"/>
              </w:rPr>
            </w:pPr>
            <w:r w:rsidRPr="00686955">
              <w:rPr>
                <w:sz w:val="20"/>
                <w:szCs w:val="20"/>
              </w:rPr>
              <w:t>Observations local weather station</w:t>
            </w:r>
          </w:p>
        </w:tc>
        <w:tc>
          <w:tcPr>
            <w:tcW w:w="2378" w:type="dxa"/>
            <w:vAlign w:val="center"/>
          </w:tcPr>
          <w:p w:rsidR="009A75F7" w:rsidRPr="00686955" w:rsidRDefault="009A75F7" w:rsidP="009C3978">
            <w:pPr>
              <w:spacing w:line="480" w:lineRule="auto"/>
              <w:rPr>
                <w:sz w:val="20"/>
                <w:szCs w:val="20"/>
              </w:rPr>
            </w:pPr>
          </w:p>
        </w:tc>
      </w:tr>
      <w:tr w:rsidR="009A75F7" w:rsidRPr="00686955" w:rsidTr="009C3978">
        <w:trPr>
          <w:trHeight w:val="214"/>
        </w:trPr>
        <w:tc>
          <w:tcPr>
            <w:tcW w:w="1847" w:type="dxa"/>
            <w:vAlign w:val="center"/>
          </w:tcPr>
          <w:p w:rsidR="009A75F7" w:rsidRPr="00686955" w:rsidRDefault="009A75F7" w:rsidP="009C3978">
            <w:pPr>
              <w:spacing w:line="480" w:lineRule="auto"/>
              <w:rPr>
                <w:sz w:val="20"/>
                <w:szCs w:val="20"/>
              </w:rPr>
            </w:pPr>
            <w:r w:rsidRPr="00686955">
              <w:rPr>
                <w:sz w:val="20"/>
                <w:szCs w:val="20"/>
              </w:rPr>
              <w:t>Initial soil temperature</w:t>
            </w:r>
          </w:p>
        </w:tc>
        <w:tc>
          <w:tcPr>
            <w:tcW w:w="1499" w:type="dxa"/>
            <w:vAlign w:val="center"/>
          </w:tcPr>
          <w:p w:rsidR="009A75F7" w:rsidRPr="00686955" w:rsidRDefault="009A75F7" w:rsidP="009C3978">
            <w:pPr>
              <w:spacing w:line="480" w:lineRule="auto"/>
              <w:jc w:val="center"/>
              <w:rPr>
                <w:sz w:val="20"/>
                <w:szCs w:val="20"/>
              </w:rPr>
            </w:pPr>
            <w:r w:rsidRPr="00686955">
              <w:rPr>
                <w:sz w:val="20"/>
                <w:szCs w:val="20"/>
              </w:rPr>
              <w:t>°K</w:t>
            </w:r>
          </w:p>
        </w:tc>
        <w:tc>
          <w:tcPr>
            <w:tcW w:w="825" w:type="dxa"/>
            <w:vAlign w:val="center"/>
          </w:tcPr>
          <w:p w:rsidR="009A75F7" w:rsidRPr="00686955" w:rsidRDefault="009A75F7" w:rsidP="009C3978">
            <w:pPr>
              <w:spacing w:line="480" w:lineRule="auto"/>
              <w:jc w:val="center"/>
              <w:rPr>
                <w:sz w:val="20"/>
                <w:szCs w:val="20"/>
              </w:rPr>
            </w:pPr>
            <w:r w:rsidRPr="00686955">
              <w:rPr>
                <w:sz w:val="20"/>
                <w:szCs w:val="20"/>
              </w:rPr>
              <w:t>275</w:t>
            </w:r>
          </w:p>
        </w:tc>
        <w:tc>
          <w:tcPr>
            <w:tcW w:w="3105" w:type="dxa"/>
            <w:vAlign w:val="center"/>
          </w:tcPr>
          <w:p w:rsidR="009A75F7" w:rsidRPr="00686955" w:rsidRDefault="009A75F7" w:rsidP="009C3978">
            <w:pPr>
              <w:spacing w:line="480" w:lineRule="auto"/>
              <w:rPr>
                <w:sz w:val="20"/>
                <w:szCs w:val="20"/>
              </w:rPr>
            </w:pPr>
            <w:r w:rsidRPr="00686955">
              <w:rPr>
                <w:sz w:val="20"/>
                <w:szCs w:val="20"/>
              </w:rPr>
              <w:t>Observations local weather station</w:t>
            </w:r>
          </w:p>
        </w:tc>
        <w:tc>
          <w:tcPr>
            <w:tcW w:w="2378" w:type="dxa"/>
            <w:vAlign w:val="center"/>
          </w:tcPr>
          <w:p w:rsidR="009A75F7" w:rsidRPr="00686955" w:rsidRDefault="009A75F7" w:rsidP="009C3978">
            <w:pPr>
              <w:spacing w:line="480" w:lineRule="auto"/>
              <w:rPr>
                <w:sz w:val="20"/>
                <w:szCs w:val="20"/>
              </w:rPr>
            </w:pPr>
          </w:p>
        </w:tc>
      </w:tr>
      <w:tr w:rsidR="009A75F7" w:rsidRPr="00686955" w:rsidTr="009C3978">
        <w:trPr>
          <w:trHeight w:val="214"/>
        </w:trPr>
        <w:tc>
          <w:tcPr>
            <w:tcW w:w="1847" w:type="dxa"/>
            <w:vAlign w:val="center"/>
          </w:tcPr>
          <w:p w:rsidR="009A75F7" w:rsidRPr="00686955" w:rsidRDefault="009A75F7" w:rsidP="009C3978">
            <w:pPr>
              <w:spacing w:line="480" w:lineRule="auto"/>
              <w:rPr>
                <w:sz w:val="20"/>
                <w:szCs w:val="20"/>
              </w:rPr>
            </w:pPr>
            <w:r w:rsidRPr="00686955">
              <w:rPr>
                <w:sz w:val="20"/>
                <w:szCs w:val="20"/>
              </w:rPr>
              <w:t>Root density</w:t>
            </w:r>
          </w:p>
        </w:tc>
        <w:tc>
          <w:tcPr>
            <w:tcW w:w="1499" w:type="dxa"/>
            <w:vAlign w:val="center"/>
          </w:tcPr>
          <w:p w:rsidR="009A75F7" w:rsidRPr="00686955" w:rsidRDefault="009A75F7" w:rsidP="009C3978">
            <w:pPr>
              <w:spacing w:line="480" w:lineRule="auto"/>
              <w:jc w:val="center"/>
              <w:rPr>
                <w:sz w:val="20"/>
                <w:szCs w:val="20"/>
              </w:rPr>
            </w:pPr>
            <w:r w:rsidRPr="00686955">
              <w:rPr>
                <w:color w:val="000000"/>
                <w:sz w:val="20"/>
                <w:szCs w:val="20"/>
              </w:rPr>
              <w:t>g biomass m-3 root</w:t>
            </w:r>
          </w:p>
        </w:tc>
        <w:tc>
          <w:tcPr>
            <w:tcW w:w="825" w:type="dxa"/>
            <w:vAlign w:val="center"/>
          </w:tcPr>
          <w:p w:rsidR="009A75F7" w:rsidRPr="00686955" w:rsidRDefault="009A75F7" w:rsidP="009C3978">
            <w:pPr>
              <w:spacing w:line="480" w:lineRule="auto"/>
              <w:jc w:val="center"/>
              <w:rPr>
                <w:sz w:val="20"/>
                <w:szCs w:val="20"/>
              </w:rPr>
            </w:pPr>
            <w:r w:rsidRPr="00686955">
              <w:rPr>
                <w:sz w:val="20"/>
                <w:szCs w:val="20"/>
              </w:rPr>
              <w:t>0.51</w:t>
            </w:r>
          </w:p>
        </w:tc>
        <w:tc>
          <w:tcPr>
            <w:tcW w:w="3105" w:type="dxa"/>
            <w:vAlign w:val="center"/>
          </w:tcPr>
          <w:p w:rsidR="009A75F7" w:rsidRPr="00686955" w:rsidRDefault="009A75F7" w:rsidP="009C3978">
            <w:pPr>
              <w:spacing w:line="480" w:lineRule="auto"/>
              <w:rPr>
                <w:sz w:val="20"/>
                <w:szCs w:val="20"/>
              </w:rPr>
            </w:pPr>
            <w:r w:rsidRPr="00686955">
              <w:rPr>
                <w:sz w:val="20"/>
                <w:szCs w:val="20"/>
              </w:rPr>
              <w:t>Calculated from root biomass and root length measurements (Girardin and others 2013)</w:t>
            </w:r>
          </w:p>
        </w:tc>
        <w:tc>
          <w:tcPr>
            <w:tcW w:w="2378" w:type="dxa"/>
            <w:vAlign w:val="center"/>
          </w:tcPr>
          <w:p w:rsidR="009A75F7" w:rsidRPr="00686955" w:rsidRDefault="009A75F7" w:rsidP="009C3978">
            <w:pPr>
              <w:spacing w:line="480" w:lineRule="auto"/>
              <w:rPr>
                <w:sz w:val="20"/>
                <w:szCs w:val="20"/>
              </w:rPr>
            </w:pPr>
          </w:p>
        </w:tc>
      </w:tr>
    </w:tbl>
    <w:p w:rsidR="009A75F7" w:rsidRPr="00686955" w:rsidRDefault="009A75F7" w:rsidP="009A75F7">
      <w:pPr>
        <w:spacing w:line="480" w:lineRule="auto"/>
        <w:rPr>
          <w:sz w:val="20"/>
        </w:rPr>
      </w:pPr>
    </w:p>
    <w:p w:rsidR="009A75F7" w:rsidRPr="00686955" w:rsidRDefault="009A75F7" w:rsidP="009A75F7">
      <w:pPr>
        <w:spacing w:line="360" w:lineRule="auto"/>
        <w:rPr>
          <w:b/>
        </w:rPr>
      </w:pPr>
      <w:r w:rsidRPr="00686955">
        <w:rPr>
          <w:b/>
        </w:rPr>
        <w:t>References</w:t>
      </w:r>
    </w:p>
    <w:p w:rsidR="009A75F7" w:rsidRPr="00686955" w:rsidRDefault="009A75F7" w:rsidP="009A75F7">
      <w:pPr>
        <w:spacing w:line="360" w:lineRule="auto"/>
      </w:pPr>
      <w:r w:rsidRPr="00686955">
        <w:rPr>
          <w:sz w:val="21"/>
          <w:szCs w:val="21"/>
        </w:rPr>
        <w:br/>
      </w:r>
      <w:r w:rsidRPr="00686955">
        <w:rPr>
          <w:b/>
          <w:bCs/>
        </w:rPr>
        <w:t>Girardin, CAJ</w:t>
      </w:r>
      <w:r w:rsidRPr="00686955">
        <w:rPr>
          <w:b/>
        </w:rPr>
        <w:t xml:space="preserve">, </w:t>
      </w:r>
      <w:proofErr w:type="spellStart"/>
      <w:r w:rsidRPr="00686955">
        <w:t>Aragão</w:t>
      </w:r>
      <w:proofErr w:type="spellEnd"/>
      <w:r w:rsidRPr="00686955">
        <w:t xml:space="preserve">, LEOC, </w:t>
      </w:r>
      <w:proofErr w:type="spellStart"/>
      <w:r w:rsidRPr="00686955">
        <w:t>Huaraca</w:t>
      </w:r>
      <w:proofErr w:type="spellEnd"/>
      <w:r w:rsidRPr="00686955">
        <w:t xml:space="preserve"> </w:t>
      </w:r>
      <w:proofErr w:type="spellStart"/>
      <w:r w:rsidRPr="00686955">
        <w:t>Huasco</w:t>
      </w:r>
      <w:proofErr w:type="spellEnd"/>
      <w:r w:rsidRPr="00686955">
        <w:t xml:space="preserve">, W, Malhi, Y, Metcalfe, DB, Durand, L, </w:t>
      </w:r>
      <w:proofErr w:type="spellStart"/>
      <w:r w:rsidRPr="00686955">
        <w:t>Mamani</w:t>
      </w:r>
      <w:proofErr w:type="spellEnd"/>
      <w:r w:rsidRPr="00686955">
        <w:t>, M, Silva-</w:t>
      </w:r>
      <w:proofErr w:type="spellStart"/>
      <w:r w:rsidRPr="00686955">
        <w:t>Espejo</w:t>
      </w:r>
      <w:proofErr w:type="spellEnd"/>
      <w:r w:rsidRPr="00686955">
        <w:t>, JE, Whittaker, RJ, Fine Root dynamics along an elevation gradient in tropical Andean forests, Global Biogeochemical Cycles 27: 252–264.</w:t>
      </w:r>
    </w:p>
    <w:p w:rsidR="009A75F7" w:rsidRPr="00686955" w:rsidRDefault="009A75F7" w:rsidP="009A75F7">
      <w:pPr>
        <w:spacing w:before="240" w:after="240" w:line="480" w:lineRule="auto"/>
      </w:pPr>
      <w:r w:rsidRPr="00F170BB">
        <w:rPr>
          <w:lang w:val="de-DE"/>
        </w:rPr>
        <w:t xml:space="preserve">Zimmermann M, Meir P, Bird MI, Malhi Y, </w:t>
      </w:r>
      <w:proofErr w:type="spellStart"/>
      <w:r w:rsidRPr="00F170BB">
        <w:rPr>
          <w:lang w:val="de-DE"/>
        </w:rPr>
        <w:t>Ccahuana</w:t>
      </w:r>
      <w:proofErr w:type="spellEnd"/>
      <w:r w:rsidRPr="00F170BB">
        <w:rPr>
          <w:lang w:val="de-DE"/>
        </w:rPr>
        <w:t xml:space="preserve"> AJQ. 2009. </w:t>
      </w:r>
      <w:r w:rsidRPr="00686955">
        <w:t>Climate dependence of heterotrophic soil respiration from a soil-translocation experiment along a 3000 m tropical forest altitudinal gradient. European Journal of Soil Science 60:895-906.</w:t>
      </w:r>
    </w:p>
    <w:p w:rsidR="009A75F7" w:rsidRPr="00686955" w:rsidRDefault="009A75F7" w:rsidP="009A75F7"/>
    <w:p w:rsidR="009A75F7" w:rsidRDefault="009A75F7" w:rsidP="009A75F7"/>
    <w:p w:rsidR="009A75F7" w:rsidRDefault="009A75F7" w:rsidP="009A75F7"/>
    <w:p w:rsidR="009A75F7" w:rsidRDefault="009A75F7" w:rsidP="009A75F7"/>
    <w:p w:rsidR="009A75F7" w:rsidRDefault="009A75F7" w:rsidP="009A75F7"/>
    <w:p w:rsidR="009A75F7" w:rsidRDefault="009A75F7" w:rsidP="009A75F7"/>
    <w:p w:rsidR="009A75F7" w:rsidRDefault="009A75F7" w:rsidP="009A75F7"/>
    <w:p w:rsidR="009A75F7" w:rsidRDefault="009A75F7" w:rsidP="009A75F7">
      <w:pPr>
        <w:rPr>
          <w:b/>
        </w:rPr>
      </w:pPr>
    </w:p>
    <w:p w:rsidR="009A74B6" w:rsidRDefault="009A74B6">
      <w:pPr>
        <w:rPr>
          <w:b/>
        </w:rPr>
      </w:pPr>
      <w:r>
        <w:rPr>
          <w:b/>
        </w:rPr>
        <w:br w:type="page"/>
      </w:r>
    </w:p>
    <w:p w:rsidR="009A75F7" w:rsidRDefault="009A75F7" w:rsidP="009A75F7">
      <w:pPr>
        <w:rPr>
          <w:b/>
        </w:rPr>
      </w:pPr>
      <w:r>
        <w:rPr>
          <w:b/>
        </w:rPr>
        <w:lastRenderedPageBreak/>
        <w:t>Supplementary information III</w:t>
      </w:r>
    </w:p>
    <w:p w:rsidR="009A75F7" w:rsidRDefault="009A75F7" w:rsidP="009A75F7"/>
    <w:p w:rsidR="009A75F7" w:rsidRDefault="009A75F7" w:rsidP="009A75F7">
      <w:r w:rsidRPr="008A70BE">
        <w:rPr>
          <w:noProof/>
        </w:rPr>
        <w:drawing>
          <wp:inline distT="0" distB="0" distL="0" distR="0">
            <wp:extent cx="5943600" cy="3287395"/>
            <wp:effectExtent l="0" t="0" r="0" b="8255"/>
            <wp:docPr id="23" name="Picture 22" descr="supplementar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TIF"/>
                    <pic:cNvPicPr/>
                  </pic:nvPicPr>
                  <pic:blipFill>
                    <a:blip r:embed="rId4" cstate="print"/>
                    <a:stretch>
                      <a:fillRect/>
                    </a:stretch>
                  </pic:blipFill>
                  <pic:spPr>
                    <a:xfrm>
                      <a:off x="0" y="0"/>
                      <a:ext cx="5943600" cy="3287395"/>
                    </a:xfrm>
                    <a:prstGeom prst="rect">
                      <a:avLst/>
                    </a:prstGeom>
                  </pic:spPr>
                </pic:pic>
              </a:graphicData>
            </a:graphic>
          </wp:inline>
        </w:drawing>
      </w:r>
    </w:p>
    <w:p w:rsidR="009A75F7" w:rsidRDefault="009A75F7" w:rsidP="009A75F7"/>
    <w:p w:rsidR="009A75F7" w:rsidRDefault="009A75F7" w:rsidP="009A75F7">
      <w:pPr>
        <w:spacing w:line="480" w:lineRule="auto"/>
        <w:rPr>
          <w:sz w:val="20"/>
          <w:szCs w:val="20"/>
        </w:rPr>
      </w:pPr>
      <w:r>
        <w:rPr>
          <w:sz w:val="20"/>
          <w:szCs w:val="20"/>
        </w:rPr>
        <w:t xml:space="preserve">The relative temperature sensitivity of </w:t>
      </w:r>
      <w:r>
        <w:rPr>
          <w:i/>
          <w:sz w:val="20"/>
          <w:szCs w:val="20"/>
        </w:rPr>
        <w:t>V</w:t>
      </w:r>
      <w:r>
        <w:rPr>
          <w:sz w:val="20"/>
          <w:szCs w:val="20"/>
          <w:vertAlign w:val="subscript"/>
        </w:rPr>
        <w:t xml:space="preserve">cmax </w:t>
      </w:r>
      <w:r>
        <w:rPr>
          <w:sz w:val="20"/>
          <w:szCs w:val="20"/>
        </w:rPr>
        <w:t xml:space="preserve">and </w:t>
      </w:r>
      <w:r>
        <w:rPr>
          <w:i/>
          <w:sz w:val="20"/>
          <w:szCs w:val="20"/>
        </w:rPr>
        <w:t>J</w:t>
      </w:r>
      <w:r>
        <w:rPr>
          <w:sz w:val="20"/>
          <w:szCs w:val="20"/>
          <w:vertAlign w:val="subscript"/>
        </w:rPr>
        <w:t>max</w:t>
      </w:r>
      <w:r>
        <w:rPr>
          <w:sz w:val="20"/>
          <w:szCs w:val="20"/>
        </w:rPr>
        <w:t xml:space="preserve"> from the SPA model (closed symbols) and as found in Table 1 of Sharkey and others (2007) (open symbols), given the premise that both curves give the same value at 20 °C.</w:t>
      </w:r>
    </w:p>
    <w:p w:rsidR="009A75F7" w:rsidRDefault="009A75F7" w:rsidP="009A75F7"/>
    <w:p w:rsidR="009A75F7" w:rsidRDefault="009A75F7" w:rsidP="009A75F7">
      <w:pPr>
        <w:spacing w:after="240" w:line="480" w:lineRule="auto"/>
      </w:pPr>
      <w:r>
        <w:t xml:space="preserve">Sharkey, TD, </w:t>
      </w:r>
      <w:proofErr w:type="spellStart"/>
      <w:r>
        <w:t>Bernacchi</w:t>
      </w:r>
      <w:proofErr w:type="spellEnd"/>
      <w:r>
        <w:t xml:space="preserve">, CJ, Farquhar, GD, </w:t>
      </w:r>
      <w:proofErr w:type="spellStart"/>
      <w:r>
        <w:t>Singsaas</w:t>
      </w:r>
      <w:proofErr w:type="spellEnd"/>
      <w:r>
        <w:t>, EL, 2007. Fitting photosynthetic carbon dioxide response curves for C-3 leaves. Plant Cell and Environment 30, 1035-1040.</w:t>
      </w:r>
    </w:p>
    <w:p w:rsidR="009A75F7" w:rsidRDefault="009A75F7" w:rsidP="009A75F7"/>
    <w:p w:rsidR="009A75F7" w:rsidRDefault="009A75F7" w:rsidP="009A75F7"/>
    <w:p w:rsidR="009A75F7" w:rsidRDefault="009A75F7" w:rsidP="009A75F7"/>
    <w:p w:rsidR="00BF583C" w:rsidRDefault="00BF583C"/>
    <w:sectPr w:rsidR="00BF583C" w:rsidSect="00BF58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9A75F7"/>
    <w:rsid w:val="00003D67"/>
    <w:rsid w:val="00023402"/>
    <w:rsid w:val="00031B1C"/>
    <w:rsid w:val="00044464"/>
    <w:rsid w:val="00061313"/>
    <w:rsid w:val="00074D70"/>
    <w:rsid w:val="000960C4"/>
    <w:rsid w:val="00096F31"/>
    <w:rsid w:val="000A611E"/>
    <w:rsid w:val="000C0C03"/>
    <w:rsid w:val="000C6241"/>
    <w:rsid w:val="000D2337"/>
    <w:rsid w:val="000D58AD"/>
    <w:rsid w:val="000E287E"/>
    <w:rsid w:val="000E4E24"/>
    <w:rsid w:val="000E6935"/>
    <w:rsid w:val="000F2741"/>
    <w:rsid w:val="001030FB"/>
    <w:rsid w:val="0011114E"/>
    <w:rsid w:val="00115293"/>
    <w:rsid w:val="001249B9"/>
    <w:rsid w:val="001473F7"/>
    <w:rsid w:val="00154A70"/>
    <w:rsid w:val="00165FE2"/>
    <w:rsid w:val="00174D18"/>
    <w:rsid w:val="00187389"/>
    <w:rsid w:val="0018751D"/>
    <w:rsid w:val="001A5DB4"/>
    <w:rsid w:val="001B0670"/>
    <w:rsid w:val="001D42D9"/>
    <w:rsid w:val="001D4C41"/>
    <w:rsid w:val="001F40EB"/>
    <w:rsid w:val="001F4639"/>
    <w:rsid w:val="0020038C"/>
    <w:rsid w:val="002050A0"/>
    <w:rsid w:val="002168D7"/>
    <w:rsid w:val="002262CF"/>
    <w:rsid w:val="00274E38"/>
    <w:rsid w:val="002B245F"/>
    <w:rsid w:val="00300801"/>
    <w:rsid w:val="00302F8B"/>
    <w:rsid w:val="003242EF"/>
    <w:rsid w:val="00326779"/>
    <w:rsid w:val="00372D7F"/>
    <w:rsid w:val="00393FCD"/>
    <w:rsid w:val="00396B8B"/>
    <w:rsid w:val="003B2281"/>
    <w:rsid w:val="003E415C"/>
    <w:rsid w:val="003F2710"/>
    <w:rsid w:val="004121EE"/>
    <w:rsid w:val="00463DE9"/>
    <w:rsid w:val="00471CD1"/>
    <w:rsid w:val="004A1CE7"/>
    <w:rsid w:val="004F2FA1"/>
    <w:rsid w:val="00525F3E"/>
    <w:rsid w:val="00531B1C"/>
    <w:rsid w:val="0054722C"/>
    <w:rsid w:val="00553874"/>
    <w:rsid w:val="00565D34"/>
    <w:rsid w:val="005A25B3"/>
    <w:rsid w:val="005B7DC7"/>
    <w:rsid w:val="005C3DCE"/>
    <w:rsid w:val="005D362E"/>
    <w:rsid w:val="005D784F"/>
    <w:rsid w:val="00622190"/>
    <w:rsid w:val="00630865"/>
    <w:rsid w:val="00694C9F"/>
    <w:rsid w:val="006A0458"/>
    <w:rsid w:val="006A758F"/>
    <w:rsid w:val="006B19B9"/>
    <w:rsid w:val="006C08BE"/>
    <w:rsid w:val="006C138F"/>
    <w:rsid w:val="00715536"/>
    <w:rsid w:val="00722AD5"/>
    <w:rsid w:val="00731F86"/>
    <w:rsid w:val="00757A61"/>
    <w:rsid w:val="007B667B"/>
    <w:rsid w:val="007B7F55"/>
    <w:rsid w:val="007C1871"/>
    <w:rsid w:val="007C3EBA"/>
    <w:rsid w:val="007E1F89"/>
    <w:rsid w:val="007F5A3A"/>
    <w:rsid w:val="008260BB"/>
    <w:rsid w:val="00826D98"/>
    <w:rsid w:val="00841AC3"/>
    <w:rsid w:val="0084200E"/>
    <w:rsid w:val="00844AC5"/>
    <w:rsid w:val="0088449B"/>
    <w:rsid w:val="008B0DC3"/>
    <w:rsid w:val="008B4F15"/>
    <w:rsid w:val="008D1E55"/>
    <w:rsid w:val="008E485B"/>
    <w:rsid w:val="008F51FA"/>
    <w:rsid w:val="0092018B"/>
    <w:rsid w:val="00921DDA"/>
    <w:rsid w:val="0097278A"/>
    <w:rsid w:val="0099317B"/>
    <w:rsid w:val="009A74B6"/>
    <w:rsid w:val="009A75F7"/>
    <w:rsid w:val="009B3583"/>
    <w:rsid w:val="009C30D8"/>
    <w:rsid w:val="009D7275"/>
    <w:rsid w:val="009E0CCC"/>
    <w:rsid w:val="00A53731"/>
    <w:rsid w:val="00A61774"/>
    <w:rsid w:val="00A86CA7"/>
    <w:rsid w:val="00A916CC"/>
    <w:rsid w:val="00A96D37"/>
    <w:rsid w:val="00A97934"/>
    <w:rsid w:val="00AC0AAA"/>
    <w:rsid w:val="00B0591A"/>
    <w:rsid w:val="00B177A4"/>
    <w:rsid w:val="00B311DF"/>
    <w:rsid w:val="00B40423"/>
    <w:rsid w:val="00B475A7"/>
    <w:rsid w:val="00B5227D"/>
    <w:rsid w:val="00B55D4E"/>
    <w:rsid w:val="00B561C9"/>
    <w:rsid w:val="00B574A1"/>
    <w:rsid w:val="00B7297C"/>
    <w:rsid w:val="00B75FD4"/>
    <w:rsid w:val="00BB1B61"/>
    <w:rsid w:val="00BB2924"/>
    <w:rsid w:val="00BF05FD"/>
    <w:rsid w:val="00BF583C"/>
    <w:rsid w:val="00C0574B"/>
    <w:rsid w:val="00C05B54"/>
    <w:rsid w:val="00C12974"/>
    <w:rsid w:val="00C17C73"/>
    <w:rsid w:val="00C20319"/>
    <w:rsid w:val="00C231B1"/>
    <w:rsid w:val="00C40CEC"/>
    <w:rsid w:val="00C4118B"/>
    <w:rsid w:val="00C42186"/>
    <w:rsid w:val="00C6227C"/>
    <w:rsid w:val="00C670B2"/>
    <w:rsid w:val="00C90D02"/>
    <w:rsid w:val="00C96D4F"/>
    <w:rsid w:val="00CA7095"/>
    <w:rsid w:val="00CB3E2B"/>
    <w:rsid w:val="00CD737D"/>
    <w:rsid w:val="00CF2913"/>
    <w:rsid w:val="00CF410F"/>
    <w:rsid w:val="00D15592"/>
    <w:rsid w:val="00D346BD"/>
    <w:rsid w:val="00D3485F"/>
    <w:rsid w:val="00D355EA"/>
    <w:rsid w:val="00D45EDA"/>
    <w:rsid w:val="00D4665B"/>
    <w:rsid w:val="00D4714C"/>
    <w:rsid w:val="00DB320A"/>
    <w:rsid w:val="00DC2D35"/>
    <w:rsid w:val="00DE4417"/>
    <w:rsid w:val="00DF52BC"/>
    <w:rsid w:val="00DF602E"/>
    <w:rsid w:val="00DF7A83"/>
    <w:rsid w:val="00E14480"/>
    <w:rsid w:val="00E5136E"/>
    <w:rsid w:val="00EA3E4E"/>
    <w:rsid w:val="00EB5B11"/>
    <w:rsid w:val="00EC2EC6"/>
    <w:rsid w:val="00EF565F"/>
    <w:rsid w:val="00F0254E"/>
    <w:rsid w:val="00F043BC"/>
    <w:rsid w:val="00F0460A"/>
    <w:rsid w:val="00F170BB"/>
    <w:rsid w:val="00FA0D6F"/>
    <w:rsid w:val="00FA379A"/>
    <w:rsid w:val="00FA5079"/>
    <w:rsid w:val="00FB1911"/>
    <w:rsid w:val="00FE3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5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1179</Words>
  <Characters>6723</Characters>
  <Application>Microsoft Office Word</Application>
  <DocSecurity>0</DocSecurity>
  <Lines>56</Lines>
  <Paragraphs>15</Paragraphs>
  <ScaleCrop>false</ScaleCrop>
  <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CE_DNW_TRAINEE</dc:creator>
  <cp:keywords/>
  <dc:description/>
  <cp:lastModifiedBy>Marjan</cp:lastModifiedBy>
  <cp:revision>3</cp:revision>
  <dcterms:created xsi:type="dcterms:W3CDTF">2014-03-03T10:17:00Z</dcterms:created>
  <dcterms:modified xsi:type="dcterms:W3CDTF">2014-03-03T10:19:00Z</dcterms:modified>
</cp:coreProperties>
</file>